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E48D" w14:textId="1081F0DE" w:rsidR="00381CB1" w:rsidRPr="00C32CEF" w:rsidRDefault="00381CB1" w:rsidP="00381CB1">
      <w:pPr>
        <w:pStyle w:val="BodyText"/>
        <w:rPr>
          <w:sz w:val="24"/>
        </w:rPr>
      </w:pPr>
      <w:bookmarkStart w:id="0" w:name="_GoBack"/>
      <w:bookmarkEnd w:id="0"/>
      <w:r w:rsidRPr="00381CB1">
        <w:rPr>
          <w:sz w:val="24"/>
        </w:rPr>
        <w:t>Ministru k</w:t>
      </w:r>
      <w:r w:rsidRPr="00C32CEF">
        <w:rPr>
          <w:sz w:val="24"/>
        </w:rPr>
        <w:t>abineta noteikumu projekts „Kārtība, kādā ministrijas un citas centrālās valsts iestādes iekļauj gadskārtējā valsts budžeta likumprojektā valsts aizdevumu pieprasījumus, un valsts aizdevumu izsniegšanas un apkalpošanas kārtība” sākotnējās ietekmes novērtējuma ziņojums</w:t>
      </w:r>
    </w:p>
    <w:p w14:paraId="7047E48E" w14:textId="77777777" w:rsidR="008F1960" w:rsidRPr="00C32CEF" w:rsidRDefault="008F1960" w:rsidP="008F196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C32CEF" w:rsidRPr="00C32CEF" w14:paraId="7047E490"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047E48F"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Tiesību akta projekta anotācijas kopsavilkums</w:t>
            </w:r>
          </w:p>
        </w:tc>
      </w:tr>
      <w:tr w:rsidR="00C32CEF" w:rsidRPr="00C32CEF" w14:paraId="7047E494" w14:textId="77777777" w:rsidTr="008F1960">
        <w:tc>
          <w:tcPr>
            <w:tcW w:w="2000" w:type="pct"/>
            <w:tcBorders>
              <w:top w:val="outset" w:sz="6" w:space="0" w:color="414142"/>
              <w:left w:val="outset" w:sz="6" w:space="0" w:color="414142"/>
              <w:bottom w:val="outset" w:sz="6" w:space="0" w:color="414142"/>
              <w:right w:val="outset" w:sz="6" w:space="0" w:color="414142"/>
            </w:tcBorders>
            <w:hideMark/>
          </w:tcPr>
          <w:p w14:paraId="7047E491"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FCD71A2" w14:textId="77777777" w:rsidR="002D71CB" w:rsidRPr="00C32CEF" w:rsidRDefault="005F15C5" w:rsidP="005B411F">
            <w:pPr>
              <w:spacing w:after="0" w:line="240" w:lineRule="auto"/>
              <w:ind w:right="12"/>
              <w:jc w:val="both"/>
              <w:rPr>
                <w:rFonts w:ascii="Times New Roman" w:hAnsi="Times New Roman" w:cs="Times New Roman"/>
                <w:sz w:val="24"/>
                <w:szCs w:val="24"/>
              </w:rPr>
            </w:pPr>
            <w:r w:rsidRPr="00C32CEF">
              <w:rPr>
                <w:rFonts w:ascii="Times New Roman" w:eastAsia="Times New Roman" w:hAnsi="Times New Roman" w:cs="Times New Roman"/>
                <w:sz w:val="24"/>
                <w:szCs w:val="24"/>
                <w:lang w:eastAsia="lv-LV"/>
              </w:rPr>
              <w:t>Projekta mērķis ieviest jaunu stratēģisko  pieeju valsts aizdevumu sniegšanas un apkal</w:t>
            </w:r>
            <w:r w:rsidR="00114A77" w:rsidRPr="00C32CEF">
              <w:rPr>
                <w:rFonts w:ascii="Times New Roman" w:eastAsia="Times New Roman" w:hAnsi="Times New Roman" w:cs="Times New Roman"/>
                <w:sz w:val="24"/>
                <w:szCs w:val="24"/>
                <w:lang w:eastAsia="lv-LV"/>
              </w:rPr>
              <w:t>pošanas procesa nodrošināšanai</w:t>
            </w:r>
            <w:r w:rsidR="00DC5430" w:rsidRPr="00C32CEF">
              <w:rPr>
                <w:rFonts w:ascii="Times New Roman" w:eastAsia="Times New Roman" w:hAnsi="Times New Roman" w:cs="Times New Roman"/>
                <w:sz w:val="24"/>
                <w:szCs w:val="24"/>
                <w:lang w:eastAsia="lv-LV"/>
              </w:rPr>
              <w:t xml:space="preserve">, nosakot jaunu </w:t>
            </w:r>
            <w:r w:rsidR="00114A77" w:rsidRPr="00C32CEF">
              <w:rPr>
                <w:rFonts w:ascii="Times New Roman" w:eastAsia="Times New Roman" w:hAnsi="Times New Roman" w:cs="Times New Roman"/>
                <w:sz w:val="24"/>
                <w:szCs w:val="24"/>
                <w:lang w:eastAsia="lv-LV"/>
              </w:rPr>
              <w:t>riska procentu likmes piemēr</w:t>
            </w:r>
            <w:r w:rsidR="00DC5430" w:rsidRPr="00C32CEF">
              <w:rPr>
                <w:rFonts w:ascii="Times New Roman" w:eastAsia="Times New Roman" w:hAnsi="Times New Roman" w:cs="Times New Roman"/>
                <w:sz w:val="24"/>
                <w:szCs w:val="24"/>
                <w:lang w:eastAsia="lv-LV"/>
              </w:rPr>
              <w:t xml:space="preserve">ošanas un aprēķināšanas un </w:t>
            </w:r>
            <w:r w:rsidR="00114A77" w:rsidRPr="00C32CEF">
              <w:rPr>
                <w:rFonts w:ascii="Times New Roman" w:eastAsia="Times New Roman" w:hAnsi="Times New Roman" w:cs="Times New Roman"/>
                <w:sz w:val="24"/>
                <w:szCs w:val="24"/>
                <w:lang w:eastAsia="lv-LV"/>
              </w:rPr>
              <w:t>nodroš</w:t>
            </w:r>
            <w:r w:rsidR="00DC5430" w:rsidRPr="00C32CEF">
              <w:rPr>
                <w:rFonts w:ascii="Times New Roman" w:eastAsia="Times New Roman" w:hAnsi="Times New Roman" w:cs="Times New Roman"/>
                <w:sz w:val="24"/>
                <w:szCs w:val="24"/>
                <w:lang w:eastAsia="lv-LV"/>
              </w:rPr>
              <w:t>inājuma pietiekamības noteikšanas kārtību</w:t>
            </w:r>
            <w:r w:rsidR="00114A77" w:rsidRPr="00C32CEF">
              <w:rPr>
                <w:rFonts w:ascii="Times New Roman" w:eastAsia="Times New Roman" w:hAnsi="Times New Roman" w:cs="Times New Roman"/>
                <w:sz w:val="24"/>
                <w:szCs w:val="24"/>
                <w:lang w:eastAsia="lv-LV"/>
              </w:rPr>
              <w:t xml:space="preserve"> valsts aizdevumu izsniegšanas procesā, kā arī samazināt</w:t>
            </w:r>
            <w:r w:rsidRPr="00C32CEF">
              <w:rPr>
                <w:rFonts w:ascii="Times New Roman" w:eastAsia="Times New Roman" w:hAnsi="Times New Roman" w:cs="Times New Roman"/>
                <w:sz w:val="24"/>
                <w:szCs w:val="24"/>
                <w:lang w:eastAsia="lv-LV"/>
              </w:rPr>
              <w:t xml:space="preserve"> administratīvo slogu pašvaldību kapitālsabiedrībām</w:t>
            </w:r>
            <w:r w:rsidR="006142FF" w:rsidRPr="00C32CEF">
              <w:rPr>
                <w:rFonts w:ascii="Times New Roman" w:eastAsia="Times New Roman" w:hAnsi="Times New Roman" w:cs="Times New Roman"/>
                <w:sz w:val="24"/>
                <w:szCs w:val="24"/>
                <w:lang w:eastAsia="lv-LV"/>
              </w:rPr>
              <w:t xml:space="preserve">, ja valsts aizdevuma </w:t>
            </w:r>
            <w:r w:rsidR="00114A77" w:rsidRPr="00C32CEF">
              <w:rPr>
                <w:rFonts w:ascii="Times New Roman" w:eastAsia="Times New Roman" w:hAnsi="Times New Roman" w:cs="Times New Roman"/>
                <w:sz w:val="24"/>
                <w:szCs w:val="24"/>
                <w:lang w:eastAsia="lv-LV"/>
              </w:rPr>
              <w:t xml:space="preserve">nodrošinājums ir </w:t>
            </w:r>
            <w:r w:rsidR="006142FF" w:rsidRPr="00C32CEF">
              <w:rPr>
                <w:rFonts w:ascii="Times New Roman" w:eastAsia="Times New Roman" w:hAnsi="Times New Roman" w:cs="Times New Roman"/>
                <w:sz w:val="24"/>
                <w:szCs w:val="24"/>
                <w:lang w:eastAsia="lv-LV"/>
              </w:rPr>
              <w:t>pašvaldības vai vairāku pašvaldību sniegts galvojums 100 % apmērā no valsts aizdevuma summas</w:t>
            </w:r>
            <w:r w:rsidR="00114A77" w:rsidRPr="00C32CEF">
              <w:rPr>
                <w:rFonts w:ascii="Times New Roman" w:eastAsia="Times New Roman" w:hAnsi="Times New Roman" w:cs="Times New Roman"/>
                <w:sz w:val="24"/>
                <w:szCs w:val="24"/>
                <w:lang w:eastAsia="lv-LV"/>
              </w:rPr>
              <w:t>.</w:t>
            </w:r>
            <w:r w:rsidR="00DC5430" w:rsidRPr="00C32CEF">
              <w:rPr>
                <w:rFonts w:ascii="Times New Roman" w:hAnsi="Times New Roman" w:cs="Times New Roman"/>
                <w:sz w:val="24"/>
                <w:szCs w:val="24"/>
              </w:rPr>
              <w:t xml:space="preserve"> </w:t>
            </w:r>
          </w:p>
          <w:p w14:paraId="7047E493" w14:textId="5F2C1F46" w:rsidR="005F15C5" w:rsidRPr="00C32CEF" w:rsidRDefault="00E84850" w:rsidP="005B411F">
            <w:pPr>
              <w:spacing w:after="0" w:line="240" w:lineRule="auto"/>
              <w:ind w:right="12"/>
              <w:jc w:val="both"/>
              <w:rPr>
                <w:rFonts w:ascii="Times New Roman" w:hAnsi="Times New Roman" w:cs="Times New Roman"/>
                <w:sz w:val="24"/>
                <w:szCs w:val="24"/>
              </w:rPr>
            </w:pPr>
            <w:r w:rsidRPr="00C32CEF">
              <w:rPr>
                <w:rFonts w:ascii="Times New Roman" w:eastAsia="Times New Roman" w:hAnsi="Times New Roman" w:cs="Times New Roman"/>
                <w:sz w:val="24"/>
                <w:szCs w:val="24"/>
                <w:lang w:eastAsia="lv-LV"/>
              </w:rPr>
              <w:t>Projekts stāsies spēkā pēc tā pieņemšanas Ministru kabinetā</w:t>
            </w:r>
            <w:r w:rsidR="005B411F" w:rsidRPr="00C32CEF">
              <w:rPr>
                <w:rFonts w:ascii="Times New Roman" w:eastAsia="Times New Roman" w:hAnsi="Times New Roman" w:cs="Times New Roman"/>
                <w:sz w:val="24"/>
                <w:szCs w:val="24"/>
                <w:lang w:eastAsia="lv-LV"/>
              </w:rPr>
              <w:t>.</w:t>
            </w:r>
          </w:p>
        </w:tc>
      </w:tr>
    </w:tbl>
    <w:p w14:paraId="7047E495"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497" w14:textId="77777777" w:rsidTr="00302F3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496" w14:textId="13056D5C" w:rsidR="008F1960" w:rsidRPr="00C32CEF" w:rsidRDefault="00302F38" w:rsidP="00302F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 xml:space="preserve"> </w:t>
            </w:r>
          </w:p>
        </w:tc>
      </w:tr>
      <w:tr w:rsidR="00C32CEF" w:rsidRPr="00C32CEF" w14:paraId="7047E49C" w14:textId="77777777" w:rsidTr="00302F38">
        <w:tc>
          <w:tcPr>
            <w:tcW w:w="300" w:type="pct"/>
            <w:tcBorders>
              <w:top w:val="outset" w:sz="6" w:space="0" w:color="414142"/>
              <w:left w:val="outset" w:sz="6" w:space="0" w:color="414142"/>
              <w:bottom w:val="outset" w:sz="6" w:space="0" w:color="414142"/>
              <w:right w:val="outset" w:sz="6" w:space="0" w:color="414142"/>
            </w:tcBorders>
            <w:hideMark/>
          </w:tcPr>
          <w:p w14:paraId="7047E498"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499"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9A059F1" w14:textId="0CC13454" w:rsidR="007105D2" w:rsidRPr="00C32CEF" w:rsidRDefault="00CC3A7C" w:rsidP="00D949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C32CEF">
              <w:rPr>
                <w:rFonts w:ascii="Times New Roman" w:eastAsia="Times New Roman" w:hAnsi="Times New Roman" w:cs="Times New Roman"/>
                <w:sz w:val="24"/>
                <w:szCs w:val="24"/>
                <w:lang w:eastAsia="lv-LV"/>
              </w:rPr>
              <w:t>rojekts sagatavots pēc Finanšu ministrijas (Valsts kases) iniciatīvas</w:t>
            </w:r>
            <w:r>
              <w:rPr>
                <w:rFonts w:ascii="Times New Roman" w:eastAsia="Times New Roman" w:hAnsi="Times New Roman" w:cs="Times New Roman"/>
                <w:sz w:val="24"/>
                <w:szCs w:val="24"/>
                <w:lang w:eastAsia="lv-LV"/>
              </w:rPr>
              <w:t>, ņemot vērā</w:t>
            </w:r>
            <w:r w:rsidRPr="00C32CEF">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2019.gada 3.aprīļa grozījumus Likumā par budžetu un finanšu vadību (36.panta (5)</w:t>
            </w:r>
            <w:r>
              <w:rPr>
                <w:rFonts w:ascii="Times New Roman" w:eastAsia="Times New Roman" w:hAnsi="Times New Roman" w:cs="Times New Roman"/>
                <w:sz w:val="24"/>
                <w:szCs w:val="24"/>
                <w:vertAlign w:val="superscript"/>
                <w:lang w:eastAsia="lv-LV"/>
              </w:rPr>
              <w:t xml:space="preserve">4 </w:t>
            </w:r>
            <w:r>
              <w:rPr>
                <w:rFonts w:ascii="Times New Roman" w:eastAsia="Times New Roman" w:hAnsi="Times New Roman" w:cs="Times New Roman"/>
                <w:sz w:val="24"/>
                <w:szCs w:val="24"/>
                <w:lang w:eastAsia="lv-LV"/>
              </w:rPr>
              <w:t xml:space="preserve">daļa) pamatojoties uz </w:t>
            </w:r>
            <w:r w:rsidR="00215427" w:rsidRPr="00C32CEF">
              <w:rPr>
                <w:rFonts w:ascii="Times New Roman" w:eastAsia="Times New Roman" w:hAnsi="Times New Roman" w:cs="Times New Roman"/>
                <w:sz w:val="24"/>
                <w:szCs w:val="24"/>
                <w:lang w:eastAsia="lv-LV"/>
              </w:rPr>
              <w:t xml:space="preserve">Likuma par budžetu un finanšu vadību </w:t>
            </w:r>
            <w:r w:rsidR="005B411F" w:rsidRPr="00C32CEF">
              <w:rPr>
                <w:rFonts w:ascii="Times New Roman" w:eastAsia="Times New Roman" w:hAnsi="Times New Roman" w:cs="Times New Roman"/>
                <w:sz w:val="24"/>
                <w:szCs w:val="24"/>
                <w:lang w:eastAsia="lv-LV"/>
              </w:rPr>
              <w:t>19.</w:t>
            </w:r>
            <w:r w:rsidR="005B411F" w:rsidRPr="00C32CEF">
              <w:rPr>
                <w:rFonts w:ascii="Times New Roman" w:eastAsia="Times New Roman" w:hAnsi="Times New Roman" w:cs="Times New Roman"/>
                <w:sz w:val="24"/>
                <w:szCs w:val="24"/>
                <w:vertAlign w:val="superscript"/>
                <w:lang w:eastAsia="lv-LV"/>
              </w:rPr>
              <w:t>2 </w:t>
            </w:r>
            <w:r w:rsidR="005B411F" w:rsidRPr="00C32CEF">
              <w:rPr>
                <w:rFonts w:ascii="Times New Roman" w:eastAsia="Times New Roman" w:hAnsi="Times New Roman" w:cs="Times New Roman"/>
                <w:sz w:val="24"/>
                <w:szCs w:val="24"/>
                <w:lang w:eastAsia="lv-LV"/>
              </w:rPr>
              <w:t xml:space="preserve">pants un </w:t>
            </w:r>
            <w:r w:rsidR="00215427" w:rsidRPr="00C32CEF">
              <w:rPr>
                <w:rFonts w:ascii="Times New Roman" w:eastAsia="Times New Roman" w:hAnsi="Times New Roman" w:cs="Times New Roman"/>
                <w:sz w:val="24"/>
                <w:szCs w:val="24"/>
                <w:lang w:eastAsia="lv-LV"/>
              </w:rPr>
              <w:t>36.</w:t>
            </w:r>
            <w:r w:rsidR="005B411F" w:rsidRPr="00C32CEF">
              <w:rPr>
                <w:rFonts w:ascii="Times New Roman" w:eastAsia="Times New Roman" w:hAnsi="Times New Roman" w:cs="Times New Roman"/>
                <w:sz w:val="24"/>
                <w:szCs w:val="24"/>
                <w:lang w:eastAsia="lv-LV"/>
              </w:rPr>
              <w:t> </w:t>
            </w:r>
            <w:r w:rsidR="00215427" w:rsidRPr="00C32CEF">
              <w:rPr>
                <w:rFonts w:ascii="Times New Roman" w:eastAsia="Times New Roman" w:hAnsi="Times New Roman" w:cs="Times New Roman"/>
                <w:sz w:val="24"/>
                <w:szCs w:val="24"/>
                <w:lang w:eastAsia="lv-LV"/>
              </w:rPr>
              <w:t>panta ceturt</w:t>
            </w:r>
            <w:r>
              <w:rPr>
                <w:rFonts w:ascii="Times New Roman" w:eastAsia="Times New Roman" w:hAnsi="Times New Roman" w:cs="Times New Roman"/>
                <w:sz w:val="24"/>
                <w:szCs w:val="24"/>
                <w:lang w:eastAsia="lv-LV"/>
              </w:rPr>
              <w:t>o</w:t>
            </w:r>
            <w:r w:rsidR="00215427" w:rsidRPr="00C32CEF">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00215427" w:rsidRPr="00C32CEF">
              <w:rPr>
                <w:rFonts w:ascii="Times New Roman" w:eastAsia="Times New Roman" w:hAnsi="Times New Roman" w:cs="Times New Roman"/>
                <w:sz w:val="24"/>
                <w:szCs w:val="24"/>
                <w:lang w:eastAsia="lv-LV"/>
              </w:rPr>
              <w:t>.</w:t>
            </w:r>
          </w:p>
          <w:p w14:paraId="7047E49B" w14:textId="69723A91" w:rsidR="007D5515" w:rsidRPr="00C32CEF" w:rsidRDefault="007D5515" w:rsidP="00EE1877">
            <w:pPr>
              <w:jc w:val="both"/>
              <w:rPr>
                <w:rFonts w:ascii="Times New Roman" w:hAnsi="Times New Roman" w:cs="Times New Roman"/>
                <w:sz w:val="24"/>
                <w:szCs w:val="24"/>
              </w:rPr>
            </w:pPr>
          </w:p>
        </w:tc>
      </w:tr>
      <w:tr w:rsidR="00C32CEF" w:rsidRPr="00C32CEF" w14:paraId="7047E4B2" w14:textId="77777777" w:rsidTr="002257E3">
        <w:tc>
          <w:tcPr>
            <w:tcW w:w="300" w:type="pct"/>
            <w:tcBorders>
              <w:top w:val="outset" w:sz="6" w:space="0" w:color="414142"/>
              <w:left w:val="outset" w:sz="6" w:space="0" w:color="414142"/>
              <w:bottom w:val="outset" w:sz="6" w:space="0" w:color="414142"/>
              <w:right w:val="outset" w:sz="6" w:space="0" w:color="414142"/>
            </w:tcBorders>
            <w:hideMark/>
          </w:tcPr>
          <w:p w14:paraId="7047E49D"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49E" w14:textId="45379715" w:rsidR="00B40AC2"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59A2A9" w14:textId="77777777" w:rsidR="00B40AC2" w:rsidRPr="00B40AC2" w:rsidRDefault="00B40AC2" w:rsidP="00B40AC2">
            <w:pPr>
              <w:rPr>
                <w:rFonts w:ascii="Times New Roman" w:eastAsia="Times New Roman" w:hAnsi="Times New Roman" w:cs="Times New Roman"/>
                <w:sz w:val="24"/>
                <w:szCs w:val="24"/>
                <w:lang w:eastAsia="lv-LV"/>
              </w:rPr>
            </w:pPr>
          </w:p>
          <w:p w14:paraId="7BC927FA" w14:textId="77777777" w:rsidR="00B40AC2" w:rsidRPr="00B40AC2" w:rsidRDefault="00B40AC2" w:rsidP="00B40AC2">
            <w:pPr>
              <w:rPr>
                <w:rFonts w:ascii="Times New Roman" w:eastAsia="Times New Roman" w:hAnsi="Times New Roman" w:cs="Times New Roman"/>
                <w:sz w:val="24"/>
                <w:szCs w:val="24"/>
                <w:lang w:eastAsia="lv-LV"/>
              </w:rPr>
            </w:pPr>
          </w:p>
          <w:p w14:paraId="441E2511" w14:textId="77777777" w:rsidR="00B40AC2" w:rsidRPr="00B40AC2" w:rsidRDefault="00B40AC2" w:rsidP="00B40AC2">
            <w:pPr>
              <w:rPr>
                <w:rFonts w:ascii="Times New Roman" w:eastAsia="Times New Roman" w:hAnsi="Times New Roman" w:cs="Times New Roman"/>
                <w:sz w:val="24"/>
                <w:szCs w:val="24"/>
                <w:lang w:eastAsia="lv-LV"/>
              </w:rPr>
            </w:pPr>
          </w:p>
          <w:p w14:paraId="112D0179" w14:textId="77777777" w:rsidR="00B40AC2" w:rsidRPr="00B40AC2" w:rsidRDefault="00B40AC2" w:rsidP="00B40AC2">
            <w:pPr>
              <w:rPr>
                <w:rFonts w:ascii="Times New Roman" w:eastAsia="Times New Roman" w:hAnsi="Times New Roman" w:cs="Times New Roman"/>
                <w:sz w:val="24"/>
                <w:szCs w:val="24"/>
                <w:lang w:eastAsia="lv-LV"/>
              </w:rPr>
            </w:pPr>
          </w:p>
          <w:p w14:paraId="7EB3D5F9" w14:textId="77777777" w:rsidR="00B40AC2" w:rsidRPr="00B40AC2" w:rsidRDefault="00B40AC2" w:rsidP="00B40AC2">
            <w:pPr>
              <w:rPr>
                <w:rFonts w:ascii="Times New Roman" w:eastAsia="Times New Roman" w:hAnsi="Times New Roman" w:cs="Times New Roman"/>
                <w:sz w:val="24"/>
                <w:szCs w:val="24"/>
                <w:lang w:eastAsia="lv-LV"/>
              </w:rPr>
            </w:pPr>
          </w:p>
          <w:p w14:paraId="20A35C6B" w14:textId="77777777" w:rsidR="00B40AC2" w:rsidRPr="00B40AC2" w:rsidRDefault="00B40AC2" w:rsidP="00B40AC2">
            <w:pPr>
              <w:rPr>
                <w:rFonts w:ascii="Times New Roman" w:eastAsia="Times New Roman" w:hAnsi="Times New Roman" w:cs="Times New Roman"/>
                <w:sz w:val="24"/>
                <w:szCs w:val="24"/>
                <w:lang w:eastAsia="lv-LV"/>
              </w:rPr>
            </w:pPr>
          </w:p>
          <w:p w14:paraId="1856C7DC" w14:textId="77777777" w:rsidR="00B40AC2" w:rsidRPr="00B40AC2" w:rsidRDefault="00B40AC2" w:rsidP="00B40AC2">
            <w:pPr>
              <w:rPr>
                <w:rFonts w:ascii="Times New Roman" w:eastAsia="Times New Roman" w:hAnsi="Times New Roman" w:cs="Times New Roman"/>
                <w:sz w:val="24"/>
                <w:szCs w:val="24"/>
                <w:lang w:eastAsia="lv-LV"/>
              </w:rPr>
            </w:pPr>
          </w:p>
          <w:p w14:paraId="69674A1C" w14:textId="77777777" w:rsidR="00B40AC2" w:rsidRPr="00B40AC2" w:rsidRDefault="00B40AC2" w:rsidP="00B40AC2">
            <w:pPr>
              <w:rPr>
                <w:rFonts w:ascii="Times New Roman" w:eastAsia="Times New Roman" w:hAnsi="Times New Roman" w:cs="Times New Roman"/>
                <w:sz w:val="24"/>
                <w:szCs w:val="24"/>
                <w:lang w:eastAsia="lv-LV"/>
              </w:rPr>
            </w:pPr>
          </w:p>
          <w:p w14:paraId="00ABCD0F" w14:textId="6398DCF4" w:rsidR="008F1960" w:rsidRPr="00B40AC2" w:rsidRDefault="00E54C95" w:rsidP="00A42569">
            <w:pPr>
              <w:tabs>
                <w:tab w:val="left" w:pos="240"/>
                <w:tab w:val="left" w:pos="8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A42569">
              <w:rPr>
                <w:rFonts w:ascii="Times New Roman" w:eastAsia="Times New Roman" w:hAnsi="Times New Roman" w:cs="Times New Roman"/>
                <w:sz w:val="24"/>
                <w:szCs w:val="24"/>
                <w:lang w:eastAsia="lv-LV"/>
              </w:rPr>
              <w:tab/>
            </w:r>
          </w:p>
        </w:tc>
        <w:tc>
          <w:tcPr>
            <w:tcW w:w="3000" w:type="pct"/>
            <w:tcBorders>
              <w:top w:val="outset" w:sz="6" w:space="0" w:color="414142"/>
              <w:left w:val="outset" w:sz="6" w:space="0" w:color="414142"/>
              <w:bottom w:val="outset" w:sz="6" w:space="0" w:color="414142"/>
              <w:right w:val="outset" w:sz="6" w:space="0" w:color="414142"/>
            </w:tcBorders>
            <w:hideMark/>
          </w:tcPr>
          <w:p w14:paraId="3728A3FD" w14:textId="549B5D28" w:rsidR="00F739E2" w:rsidRPr="00C32CEF" w:rsidRDefault="000C0E13" w:rsidP="007E70E1">
            <w:pPr>
              <w:spacing w:after="0" w:line="240" w:lineRule="auto"/>
              <w:ind w:left="60" w:hanging="60"/>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lastRenderedPageBreak/>
              <w:t>Pašreizējā situācija valsts aizdevumu plānošanas, izsniegšanas un apkalpošanas jomā vērtējama kā laba, ko apliecina valsts aizdevumu izsniegšanas apjoms,</w:t>
            </w:r>
            <w:r w:rsidR="00D00467" w:rsidRPr="00C32CEF">
              <w:rPr>
                <w:rFonts w:ascii="Times New Roman" w:eastAsia="Times New Roman" w:hAnsi="Times New Roman" w:cs="Times New Roman"/>
                <w:sz w:val="24"/>
                <w:szCs w:val="24"/>
              </w:rPr>
              <w:t xml:space="preserve"> kas 2018.</w:t>
            </w:r>
            <w:r w:rsidR="00FC65CD" w:rsidRPr="00C32CEF">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 xml:space="preserve">gadā ir palielinājies par </w:t>
            </w:r>
            <w:r w:rsidR="00344BDF" w:rsidRPr="00C32CEF">
              <w:rPr>
                <w:rFonts w:ascii="Times New Roman" w:eastAsia="Times New Roman" w:hAnsi="Times New Roman" w:cs="Times New Roman"/>
                <w:sz w:val="24"/>
                <w:szCs w:val="24"/>
              </w:rPr>
              <w:t>3</w:t>
            </w:r>
            <w:r w:rsidR="007D0239" w:rsidRPr="00C32CEF">
              <w:rPr>
                <w:rFonts w:ascii="Times New Roman" w:eastAsia="Times New Roman" w:hAnsi="Times New Roman" w:cs="Times New Roman"/>
                <w:sz w:val="24"/>
                <w:szCs w:val="24"/>
              </w:rPr>
              <w:t>0</w:t>
            </w:r>
            <w:r w:rsidR="00962BBA">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 salīdzinot ar 2017.</w:t>
            </w:r>
            <w:r w:rsidR="00FC65CD" w:rsidRPr="00C32CEF">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gadu,</w:t>
            </w:r>
            <w:r w:rsidRPr="00C32CEF">
              <w:rPr>
                <w:rFonts w:ascii="Times New Roman" w:eastAsia="Times New Roman" w:hAnsi="Times New Roman" w:cs="Times New Roman"/>
                <w:sz w:val="24"/>
                <w:szCs w:val="24"/>
              </w:rPr>
              <w:t xml:space="preserve"> kā arī valsts </w:t>
            </w:r>
            <w:r w:rsidR="00584177" w:rsidRPr="00C32CEF">
              <w:rPr>
                <w:rFonts w:ascii="Times New Roman" w:eastAsia="Times New Roman" w:hAnsi="Times New Roman" w:cs="Times New Roman"/>
                <w:sz w:val="24"/>
                <w:szCs w:val="24"/>
              </w:rPr>
              <w:t xml:space="preserve">aizdevuma </w:t>
            </w:r>
            <w:r w:rsidRPr="00C32CEF">
              <w:rPr>
                <w:rFonts w:ascii="Times New Roman" w:eastAsia="Times New Roman" w:hAnsi="Times New Roman" w:cs="Times New Roman"/>
                <w:sz w:val="24"/>
                <w:szCs w:val="24"/>
              </w:rPr>
              <w:t xml:space="preserve">saņēmēju kā klientu apmierinātības aptaujas. Tomēr, ņemot vērā jaunākās tendences valsts pārvaldes darba organizācijā un finanšu nozarē, ir nepieciešams </w:t>
            </w:r>
            <w:r w:rsidR="00D32D10" w:rsidRPr="00C32CEF">
              <w:rPr>
                <w:rFonts w:ascii="Times New Roman" w:eastAsia="Times New Roman" w:hAnsi="Times New Roman" w:cs="Times New Roman"/>
                <w:sz w:val="24"/>
                <w:szCs w:val="24"/>
              </w:rPr>
              <w:t>uzlabot procesus, kas saistīti ar valsts aizdevumu plānošanu, izsniegšanu un apkalpošanu</w:t>
            </w:r>
            <w:r w:rsidR="00F739E2" w:rsidRPr="00C32CEF">
              <w:rPr>
                <w:rFonts w:ascii="Times New Roman" w:eastAsia="Times New Roman" w:hAnsi="Times New Roman" w:cs="Times New Roman"/>
                <w:sz w:val="24"/>
                <w:szCs w:val="24"/>
              </w:rPr>
              <w:t>, t.sk. veicinot Eiropas Savienības fondu līdzekļu apguvi, ņemot vērā, ka lielākā daļa valsts aizdevumu tiek sniegti Eiropas Savienības fondu projektu īstenošanai, samazinot administratīvo slogu valsts aizdevuma saņēmējiem (projektu īstenotājiem) un izvairoties no funkciju dublēšanās.</w:t>
            </w:r>
          </w:p>
          <w:p w14:paraId="39FDE5E4" w14:textId="30099A5A" w:rsidR="00F739E2" w:rsidRDefault="00F739E2" w:rsidP="007E70E1">
            <w:pPr>
              <w:spacing w:after="0" w:line="240" w:lineRule="auto"/>
              <w:ind w:left="60" w:hanging="60"/>
              <w:jc w:val="both"/>
              <w:rPr>
                <w:rFonts w:ascii="Times New Roman" w:eastAsia="Times New Roman" w:hAnsi="Times New Roman" w:cs="Times New Roman"/>
                <w:sz w:val="24"/>
                <w:szCs w:val="24"/>
              </w:rPr>
            </w:pPr>
          </w:p>
          <w:p w14:paraId="03F23D17" w14:textId="181A6101" w:rsidR="000C0E13" w:rsidRPr="00C32CEF" w:rsidRDefault="00105BF2" w:rsidP="00794304">
            <w:pPr>
              <w:spacing w:after="0" w:line="240" w:lineRule="auto"/>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Šobrīd valsts aizdevumu plānošanas, izsniegšanas un apkalpošanas kārtību reglamentē Ministru kabineta 2015. gada 30. jūnija noteikumi Nr. 363 </w:t>
            </w:r>
            <w:r w:rsidRPr="00C32CEF">
              <w:rPr>
                <w:rFonts w:ascii="Times New Roman" w:eastAsia="Times New Roman" w:hAnsi="Times New Roman" w:cs="Times New Roman"/>
                <w:sz w:val="24"/>
                <w:szCs w:val="24"/>
              </w:rPr>
              <w:lastRenderedPageBreak/>
              <w:t>„Kārtība, kādā ministrijas un citas centrālās valsts iestādes iekļauj gadskārtējā valsts budžeta likumprojektā valsts aizdevumu pieprasījumus, un valsts aizdevumu izsniegšanas un apkalpošanas kārtība” (turpmāk – Noteikumi)</w:t>
            </w:r>
            <w:r w:rsidR="002D71CB" w:rsidRPr="00C32CEF">
              <w:rPr>
                <w:rFonts w:ascii="Times New Roman" w:eastAsia="Times New Roman" w:hAnsi="Times New Roman" w:cs="Times New Roman"/>
                <w:sz w:val="24"/>
                <w:szCs w:val="24"/>
              </w:rPr>
              <w:t>.</w:t>
            </w:r>
            <w:r w:rsidRPr="00C32CEF">
              <w:rPr>
                <w:rFonts w:ascii="Times New Roman" w:eastAsia="Times New Roman" w:hAnsi="Times New Roman" w:cs="Times New Roman"/>
                <w:sz w:val="24"/>
                <w:szCs w:val="24"/>
              </w:rPr>
              <w:t xml:space="preserve"> </w:t>
            </w:r>
          </w:p>
          <w:p w14:paraId="4F3EFC77" w14:textId="1F79C695" w:rsidR="0022543E" w:rsidRDefault="0022543E" w:rsidP="002257E3">
            <w:pPr>
              <w:spacing w:after="0" w:line="240" w:lineRule="auto"/>
              <w:ind w:left="74"/>
              <w:jc w:val="both"/>
              <w:rPr>
                <w:rFonts w:ascii="Times New Roman" w:eastAsia="Times New Roman" w:hAnsi="Times New Roman" w:cs="Times New Roman"/>
                <w:sz w:val="24"/>
                <w:szCs w:val="24"/>
              </w:rPr>
            </w:pPr>
          </w:p>
          <w:p w14:paraId="3182D9F4" w14:textId="77777777" w:rsidR="005E04AB" w:rsidRPr="00363C71" w:rsidRDefault="005E04AB" w:rsidP="00363C71">
            <w:pPr>
              <w:spacing w:after="0" w:line="240" w:lineRule="auto"/>
              <w:ind w:left="58"/>
              <w:jc w:val="both"/>
              <w:rPr>
                <w:rFonts w:ascii="Times New Roman" w:eastAsia="Times New Roman" w:hAnsi="Times New Roman" w:cs="Times New Roman"/>
                <w:sz w:val="24"/>
                <w:szCs w:val="24"/>
              </w:rPr>
            </w:pPr>
            <w:r w:rsidRPr="00363C71">
              <w:rPr>
                <w:rFonts w:ascii="Times New Roman" w:eastAsia="Times New Roman" w:hAnsi="Times New Roman" w:cs="Times New Roman"/>
                <w:sz w:val="24"/>
                <w:szCs w:val="24"/>
              </w:rPr>
              <w:t>Esošā tiesiskā regulējuma ietvaros ir konstatēts:</w:t>
            </w:r>
          </w:p>
          <w:p w14:paraId="4E3A8CE8" w14:textId="09D3B75D" w:rsidR="005E04AB" w:rsidRPr="00363C71" w:rsidRDefault="005E04AB" w:rsidP="009925B9">
            <w:pPr>
              <w:pStyle w:val="ListParagraph"/>
              <w:numPr>
                <w:ilvl w:val="0"/>
                <w:numId w:val="24"/>
              </w:numPr>
              <w:spacing w:after="0" w:line="240" w:lineRule="auto"/>
              <w:ind w:left="342" w:firstLine="18"/>
              <w:jc w:val="both"/>
              <w:rPr>
                <w:rFonts w:eastAsia="Times New Roman" w:cs="Times New Roman"/>
                <w:szCs w:val="24"/>
              </w:rPr>
            </w:pPr>
            <w:r w:rsidRPr="00363C71">
              <w:rPr>
                <w:rFonts w:eastAsia="Times New Roman" w:cs="Times New Roman"/>
                <w:szCs w:val="24"/>
              </w:rPr>
              <w:t>potenciāli samazināms administratīvais slogs valsts aizdevumu pieprasījumu vidējam termiņam iekļaušanas gadskārtējā valsts budžeta likumprojektā procesā, jo ir noteikts samērā plašs iesniedzamo dokumentu apjoms, kas aizdevuma pretendentam ir jāiesniedz nozares ministrijā;</w:t>
            </w:r>
          </w:p>
          <w:p w14:paraId="5352E174" w14:textId="5D903D6A" w:rsidR="005E04AB" w:rsidRPr="00363C71" w:rsidRDefault="005E04AB" w:rsidP="00363C71">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 xml:space="preserve">lieks administratīvais slogs </w:t>
            </w:r>
            <w:r w:rsidR="007C6BD4" w:rsidRPr="00363C71">
              <w:rPr>
                <w:rFonts w:eastAsia="Times New Roman" w:cs="Times New Roman"/>
                <w:szCs w:val="24"/>
              </w:rPr>
              <w:t>–</w:t>
            </w:r>
            <w:r w:rsidRPr="00363C71">
              <w:rPr>
                <w:rFonts w:eastAsia="Times New Roman" w:cs="Times New Roman"/>
                <w:szCs w:val="24"/>
              </w:rPr>
              <w:t xml:space="preserve"> valsts un pašvaldību funkciju dublēšanās pašvaldību kapitālsabiedrību</w:t>
            </w:r>
            <w:r w:rsidR="007C6BD4" w:rsidRPr="00363C71">
              <w:rPr>
                <w:rFonts w:eastAsia="Times New Roman" w:cs="Times New Roman"/>
                <w:szCs w:val="24"/>
              </w:rPr>
              <w:t xml:space="preserve"> </w:t>
            </w:r>
            <w:r w:rsidRPr="00363C71">
              <w:rPr>
                <w:rFonts w:eastAsia="Times New Roman" w:cs="Times New Roman"/>
                <w:szCs w:val="24"/>
              </w:rPr>
              <w:t>vērtēšanā, ja kā saistību izpildes nodrošinājums ir sniegts pašvaldības galvojums. Pašvaldības kapitālsabiedrības finansiālo stāvo</w:t>
            </w:r>
            <w:r w:rsidR="007C6BD4" w:rsidRPr="00363C71">
              <w:rPr>
                <w:rFonts w:eastAsia="Times New Roman" w:cs="Times New Roman"/>
                <w:szCs w:val="24"/>
              </w:rPr>
              <w:t>k</w:t>
            </w:r>
            <w:r w:rsidRPr="00363C71">
              <w:rPr>
                <w:rFonts w:eastAsia="Times New Roman" w:cs="Times New Roman"/>
                <w:szCs w:val="24"/>
              </w:rPr>
              <w:t>li un spēju atmaksāt valsts aizdevumu sākotnēji izvērtē pašvaldības dome, pieņemot lēmumu sniegt galvojumu par pašvaldības kapitālsabiedrības saistībām, tā kā tas uzliek saistības pašvaldības budžeta līdzekļiem, savukārt, iesniedzot dokumentus valsts aizdevuma saņemšanai, Valsts kase tos  vērtē atkārtoti. Līdz ar to, lai novērstu funkciju dublēšanos, nemazinot izsniegtā valsts aizdevuma atmaksas risku, kā nodrošinājums turpmāk tiks sniegts pašvaldības galvojums 100% apmērā no valsts aizdevuma apmēra</w:t>
            </w:r>
            <w:r w:rsidR="00794304" w:rsidRPr="00363C71">
              <w:rPr>
                <w:rFonts w:eastAsia="Times New Roman" w:cs="Times New Roman"/>
                <w:szCs w:val="24"/>
              </w:rPr>
              <w:t>.</w:t>
            </w:r>
          </w:p>
          <w:p w14:paraId="236191B4" w14:textId="77777777" w:rsidR="00C33C5F" w:rsidRPr="00363C71" w:rsidRDefault="00565D98" w:rsidP="009925B9">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riska procentu likmes piemērošanas būtība ir mazināt valsts budžeta iespējamo zaudējumu apmēru gadījumā, ja aizņēmējs nespēj pilnībā segt ar valsts aizdevumu uzņemtās saistības. Šobrīd esošā riska procentu likmju piemērošanas kārtība nosaka, ka riska procentu likme ir piemērojama arī aizņēmējiem, kuri ir pieklasificēti vispārējās valdības sektoram S13, no kā izriet, ka, plānojot valsts budžeta dotācijas apmēru konkrētajam valsts aizdevuma ņēmējam, ir jāieplāno izdevumi piemērotās riska procentu likmes apmērā, kuri pēc tam, veicot riska procentu likmes samaksu, tiek atgriezti valsts budžeta ieņēmumos</w:t>
            </w:r>
            <w:r w:rsidR="00C33C5F" w:rsidRPr="00363C71">
              <w:rPr>
                <w:rFonts w:eastAsia="Times New Roman" w:cs="Times New Roman"/>
                <w:szCs w:val="24"/>
              </w:rPr>
              <w:t>.</w:t>
            </w:r>
          </w:p>
          <w:p w14:paraId="26EA7069" w14:textId="77777777" w:rsidR="00C33C5F" w:rsidRPr="00C32CEF" w:rsidRDefault="00C33C5F" w:rsidP="009925B9">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ka finanšu ministram ir tiesības atteikt valsts aizdevuma piešķiršanu gadījumā, ja</w:t>
            </w:r>
            <w:r w:rsidRPr="00C32CEF">
              <w:rPr>
                <w:rFonts w:eastAsia="Times New Roman" w:cs="Times New Roman"/>
                <w:szCs w:val="24"/>
              </w:rPr>
              <w:t xml:space="preserve"> netiek sniegts pietiekams valsts aizdevuma nodrošinājums, taču Noteikumos nav noteikts, </w:t>
            </w:r>
            <w:r w:rsidRPr="00C32CEF">
              <w:rPr>
                <w:rFonts w:eastAsia="Times New Roman" w:cs="Times New Roman"/>
                <w:szCs w:val="24"/>
              </w:rPr>
              <w:lastRenderedPageBreak/>
              <w:t>kādā apmērā ir jābūt nodrošinājumam, lai to varētu uzskatīt par pietiekamu.</w:t>
            </w:r>
          </w:p>
          <w:p w14:paraId="26F1F496" w14:textId="04B02128" w:rsidR="00E63AA1" w:rsidRPr="00C32CEF" w:rsidRDefault="00F763D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t>aizdevuma pretendentu iesniegtie biznesa plāni bieži ir nepilnīgi, neatspoguļo esošo situāciju un aizdevējs nevar pārliecināties par projekta dzīvotspēju. Problēmas visbiežāk ir saistītas ar tirgus un biznesa risku analīzi, kā rezultātā nereti pat vairākas reizes aizdevuma pretendentiem tiek lūgts iesniegt papildus informāciju vai precizēt</w:t>
            </w:r>
            <w:r w:rsidR="00E63AA1" w:rsidRPr="00C32CEF">
              <w:rPr>
                <w:rFonts w:eastAsia="Times New Roman" w:cs="Times New Roman"/>
                <w:szCs w:val="24"/>
              </w:rPr>
              <w:t xml:space="preserve"> iesniegtos dokumentus</w:t>
            </w:r>
            <w:r w:rsidRPr="00C32CEF">
              <w:rPr>
                <w:rFonts w:eastAsia="Times New Roman" w:cs="Times New Roman"/>
                <w:szCs w:val="24"/>
              </w:rPr>
              <w:t>.</w:t>
            </w:r>
          </w:p>
          <w:p w14:paraId="2CA84D06" w14:textId="77777777" w:rsidR="008F72FA" w:rsidRPr="00C32CEF" w:rsidRDefault="000F1D9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t>ka nepieciešams pārskatīt aizdevuma likmju maiņas nosacījumus, ņemot vērā, ka jebkura aizdevuma pārfinansēšana (uz lētākiem finanšu resursiem) var radīt papildus izmaksas valsts budžetam, jo valsts aizdevumu resursu cena ir cieši saistīta ar valsts parāda izmaksām.</w:t>
            </w:r>
          </w:p>
          <w:p w14:paraId="2EEF8836" w14:textId="097E48C7" w:rsidR="000C0E13" w:rsidRPr="00C32CEF" w:rsidRDefault="008F72F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t>l</w:t>
            </w:r>
            <w:r w:rsidRPr="009925B9">
              <w:rPr>
                <w:rFonts w:eastAsia="Times New Roman" w:cs="Times New Roman"/>
                <w:szCs w:val="24"/>
              </w:rPr>
              <w:t>īdzšinējā pieredze rāda, ka aizņēmēji kā nodrošinājumu pamatā sniedz aktīvus, kas nepieciešami aizņēmēju funkciju nodrošināšanai. Līdz ar to ķīlu realizācija saistību izpildes nodrošināšanai ir neracionāla no kopējām valsts interesēm gadījumos, kad aizņēmējs ieķīlā savus darbības nodrošināšanai nepieciešamos aktīvus. Ņemot vērā minēto, turpmāk valsts aizdevumu sniegšanas procesā nodrošinājuma sniegšana iepriekš minētajos gadījumos nekādā mērā nebūtu saistāma ar iespējamu ķīlas realizāciju un saistību segšanu. Tomēr nodrošinājuma nosacījums aizdevumu izsniegšanas procesā būtu saglabājams ar mērķi nodrošināt aizņēmēja atbildīgas finanšu prakses ievērošanu – rezervējot aktīvu daļu par saņemto valsts aizdevumu un tādā veidā ierobežojot papildu aizdevuma saņemšanas iespējas un pārlieku saistību uzņemšanos.</w:t>
            </w:r>
          </w:p>
          <w:p w14:paraId="4A5E1595" w14:textId="788FC518" w:rsidR="00AD6620" w:rsidRPr="009925B9" w:rsidRDefault="00AD6620" w:rsidP="00363C71">
            <w:pPr>
              <w:spacing w:after="0" w:line="240" w:lineRule="auto"/>
              <w:ind w:firstLine="709"/>
              <w:jc w:val="both"/>
              <w:rPr>
                <w:rFonts w:ascii="Times New Roman" w:eastAsia="Times New Roman" w:hAnsi="Times New Roman" w:cs="Times New Roman"/>
                <w:sz w:val="24"/>
                <w:szCs w:val="24"/>
              </w:rPr>
            </w:pPr>
          </w:p>
          <w:p w14:paraId="48AFDF0F" w14:textId="08720FA8" w:rsidR="00D902BF" w:rsidRPr="00C32CEF" w:rsidRDefault="00874157" w:rsidP="001208F9">
            <w:pPr>
              <w:spacing w:after="0" w:line="240" w:lineRule="auto"/>
              <w:ind w:left="58"/>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Līdz ar to, lai mazinātu risku, kas saistīts ar valsts aizdevuma nodrošinājumu un tā pietiekamību, kredītspējas novērtējumu, ņemot vērā piedāvātā nodrošinājuma vērtību, un riska likmes piemērošanas maiņu, </w:t>
            </w:r>
            <w:r w:rsidR="0022543E" w:rsidRPr="00C32CEF">
              <w:rPr>
                <w:rFonts w:ascii="Times New Roman" w:eastAsia="Times New Roman" w:hAnsi="Times New Roman" w:cs="Times New Roman"/>
                <w:sz w:val="24"/>
                <w:szCs w:val="24"/>
              </w:rPr>
              <w:t>ir izstrādāts</w:t>
            </w:r>
            <w:r w:rsidRPr="00C32CEF">
              <w:rPr>
                <w:rFonts w:ascii="Times New Roman" w:eastAsia="Times New Roman" w:hAnsi="Times New Roman" w:cs="Times New Roman"/>
                <w:sz w:val="24"/>
                <w:szCs w:val="24"/>
              </w:rPr>
              <w:t xml:space="preserve"> jauns Ministru kabineta noteikumu projekts</w:t>
            </w:r>
            <w:r w:rsidR="00AF22A9" w:rsidRPr="00C32CEF">
              <w:rPr>
                <w:rFonts w:ascii="Times New Roman" w:eastAsia="Times New Roman" w:hAnsi="Times New Roman" w:cs="Times New Roman"/>
                <w:sz w:val="24"/>
                <w:szCs w:val="24"/>
              </w:rPr>
              <w:t xml:space="preserve"> (turpmāk – Noteikumu projekts)</w:t>
            </w:r>
            <w:r w:rsidRPr="00C32CEF">
              <w:rPr>
                <w:rFonts w:ascii="Times New Roman" w:eastAsia="Times New Roman" w:hAnsi="Times New Roman" w:cs="Times New Roman"/>
                <w:sz w:val="24"/>
                <w:szCs w:val="24"/>
              </w:rPr>
              <w:t>, kas satur gan virkni jauninājumu, gan arī niansētāku un detalizētāku tiesisko regulējumu valsts aizdevumu jomā</w:t>
            </w:r>
            <w:r w:rsidR="001208F9" w:rsidRPr="00C32CEF">
              <w:rPr>
                <w:rFonts w:ascii="Times New Roman" w:eastAsia="Times New Roman" w:hAnsi="Times New Roman" w:cs="Times New Roman"/>
                <w:sz w:val="24"/>
                <w:szCs w:val="24"/>
              </w:rPr>
              <w:t>.</w:t>
            </w:r>
          </w:p>
          <w:p w14:paraId="3B3F25D7" w14:textId="77777777" w:rsidR="0042690D" w:rsidRPr="00C32CEF" w:rsidRDefault="0042690D" w:rsidP="001208F9">
            <w:pPr>
              <w:spacing w:after="0" w:line="240" w:lineRule="auto"/>
              <w:ind w:left="58"/>
              <w:jc w:val="both"/>
              <w:rPr>
                <w:rFonts w:ascii="Times New Roman" w:eastAsia="Times New Roman" w:hAnsi="Times New Roman" w:cs="Times New Roman"/>
                <w:sz w:val="24"/>
                <w:szCs w:val="24"/>
              </w:rPr>
            </w:pPr>
          </w:p>
          <w:p w14:paraId="079EDD1D" w14:textId="41E653D7" w:rsidR="00A80442" w:rsidRPr="00C32CEF" w:rsidRDefault="00334164" w:rsidP="005B411F">
            <w:pPr>
              <w:pStyle w:val="ListParagraph"/>
              <w:spacing w:after="0" w:line="240" w:lineRule="auto"/>
              <w:ind w:left="0"/>
              <w:jc w:val="both"/>
              <w:rPr>
                <w:rFonts w:eastAsia="Times New Roman" w:cs="Times New Roman"/>
                <w:szCs w:val="24"/>
              </w:rPr>
            </w:pPr>
            <w:r w:rsidRPr="00C32CEF">
              <w:rPr>
                <w:rFonts w:eastAsia="Times New Roman" w:cs="Times New Roman"/>
                <w:szCs w:val="24"/>
              </w:rPr>
              <w:t>Noteikumu projekt</w:t>
            </w:r>
            <w:r w:rsidR="00A80442" w:rsidRPr="00C32CEF">
              <w:rPr>
                <w:rFonts w:eastAsia="Times New Roman" w:cs="Times New Roman"/>
                <w:szCs w:val="24"/>
              </w:rPr>
              <w:t xml:space="preserve">ā </w:t>
            </w:r>
            <w:r w:rsidR="00F83D33" w:rsidRPr="00C32CEF">
              <w:rPr>
                <w:rFonts w:eastAsia="Times New Roman" w:cs="Times New Roman"/>
                <w:szCs w:val="24"/>
              </w:rPr>
              <w:t>I </w:t>
            </w:r>
            <w:r w:rsidRPr="00C32CEF">
              <w:rPr>
                <w:rFonts w:eastAsia="Times New Roman" w:cs="Times New Roman"/>
                <w:szCs w:val="24"/>
              </w:rPr>
              <w:t xml:space="preserve">nodaļa papildināta ar </w:t>
            </w:r>
            <w:r w:rsidR="00A80442" w:rsidRPr="00C32CEF">
              <w:rPr>
                <w:rFonts w:eastAsia="Times New Roman" w:cs="Times New Roman"/>
                <w:szCs w:val="24"/>
              </w:rPr>
              <w:t>terminu skaidrojošo sadaļu</w:t>
            </w:r>
            <w:r w:rsidR="001208F9" w:rsidRPr="00C32CEF">
              <w:rPr>
                <w:rFonts w:eastAsia="Times New Roman" w:cs="Times New Roman"/>
                <w:szCs w:val="24"/>
              </w:rPr>
              <w:t>.</w:t>
            </w:r>
          </w:p>
          <w:p w14:paraId="04F363C0" w14:textId="3155115D" w:rsidR="002527A8" w:rsidRPr="009925B9" w:rsidRDefault="00C919E6" w:rsidP="005B411F">
            <w:pPr>
              <w:pStyle w:val="ListParagraph"/>
              <w:spacing w:after="0" w:line="240" w:lineRule="auto"/>
              <w:ind w:left="0"/>
              <w:jc w:val="both"/>
              <w:rPr>
                <w:rFonts w:eastAsia="Times New Roman" w:cs="Times New Roman"/>
                <w:szCs w:val="24"/>
              </w:rPr>
            </w:pPr>
            <w:r>
              <w:rPr>
                <w:rFonts w:eastAsia="Times New Roman" w:cs="Times New Roman"/>
                <w:szCs w:val="24"/>
              </w:rPr>
              <w:t>Šo noteikumu kontekstā termins “</w:t>
            </w:r>
            <w:r w:rsidR="0071457E">
              <w:rPr>
                <w:rFonts w:eastAsia="Times New Roman" w:cs="Times New Roman"/>
                <w:szCs w:val="24"/>
              </w:rPr>
              <w:t xml:space="preserve">aizdevuma </w:t>
            </w:r>
            <w:r>
              <w:rPr>
                <w:rFonts w:eastAsia="Times New Roman" w:cs="Times New Roman"/>
                <w:szCs w:val="24"/>
              </w:rPr>
              <w:t xml:space="preserve">pretendents” attiecas uz </w:t>
            </w:r>
            <w:r w:rsidR="002527A8">
              <w:rPr>
                <w:rFonts w:eastAsia="Times New Roman" w:cs="Times New Roman"/>
                <w:szCs w:val="24"/>
              </w:rPr>
              <w:t xml:space="preserve">to </w:t>
            </w:r>
            <w:r>
              <w:rPr>
                <w:rFonts w:eastAsia="Times New Roman" w:cs="Times New Roman"/>
                <w:szCs w:val="24"/>
              </w:rPr>
              <w:t xml:space="preserve">subjektu loku, kuri </w:t>
            </w:r>
            <w:r>
              <w:rPr>
                <w:rFonts w:eastAsia="Times New Roman" w:cs="Times New Roman"/>
                <w:szCs w:val="24"/>
              </w:rPr>
              <w:lastRenderedPageBreak/>
              <w:t>informāciju par plānotā v</w:t>
            </w:r>
            <w:r w:rsidRPr="009925B9">
              <w:rPr>
                <w:rFonts w:eastAsia="Times New Roman" w:cs="Times New Roman"/>
                <w:szCs w:val="24"/>
              </w:rPr>
              <w:t>alsts aizdevuma pieprasījumu vidējam termiņam iekļaušanu gadskārtējā valsts budžeta likumprojektā sniedz nozares ministrijā</w:t>
            </w:r>
            <w:r w:rsidR="00F9754B" w:rsidRPr="009925B9">
              <w:rPr>
                <w:rFonts w:eastAsia="Times New Roman" w:cs="Times New Roman"/>
                <w:szCs w:val="24"/>
              </w:rPr>
              <w:t xml:space="preserve">, savukārt </w:t>
            </w:r>
            <w:r w:rsidRPr="009925B9">
              <w:rPr>
                <w:rFonts w:eastAsia="Times New Roman" w:cs="Times New Roman"/>
                <w:szCs w:val="24"/>
              </w:rPr>
              <w:t xml:space="preserve"> nozares ministrija </w:t>
            </w:r>
            <w:r w:rsidR="00F9754B" w:rsidRPr="009925B9">
              <w:rPr>
                <w:rFonts w:eastAsia="Times New Roman" w:cs="Times New Roman"/>
                <w:szCs w:val="24"/>
              </w:rPr>
              <w:t>š</w:t>
            </w:r>
            <w:r w:rsidR="00B65D2D" w:rsidRPr="009925B9">
              <w:rPr>
                <w:rFonts w:eastAsia="Times New Roman" w:cs="Times New Roman"/>
                <w:szCs w:val="24"/>
              </w:rPr>
              <w:t>ī</w:t>
            </w:r>
            <w:r w:rsidR="00F9754B" w:rsidRPr="009925B9">
              <w:rPr>
                <w:rFonts w:eastAsia="Times New Roman" w:cs="Times New Roman"/>
                <w:szCs w:val="24"/>
              </w:rPr>
              <w:t>s prognozes iesniedz F</w:t>
            </w:r>
            <w:r w:rsidRPr="009925B9">
              <w:rPr>
                <w:rFonts w:eastAsia="Times New Roman" w:cs="Times New Roman"/>
                <w:szCs w:val="24"/>
              </w:rPr>
              <w:t>inan</w:t>
            </w:r>
            <w:r w:rsidR="002527A8" w:rsidRPr="009925B9">
              <w:rPr>
                <w:rFonts w:eastAsia="Times New Roman" w:cs="Times New Roman"/>
                <w:szCs w:val="24"/>
              </w:rPr>
              <w:t>šu ministrij</w:t>
            </w:r>
            <w:r w:rsidR="00F9754B" w:rsidRPr="009925B9">
              <w:rPr>
                <w:rFonts w:eastAsia="Times New Roman" w:cs="Times New Roman"/>
                <w:szCs w:val="24"/>
              </w:rPr>
              <w:t>ā</w:t>
            </w:r>
            <w:r w:rsidR="002527A8" w:rsidRPr="009925B9">
              <w:rPr>
                <w:rFonts w:eastAsia="Times New Roman" w:cs="Times New Roman"/>
                <w:szCs w:val="24"/>
              </w:rPr>
              <w:t xml:space="preserve">, kas </w:t>
            </w:r>
            <w:r w:rsidR="00631284" w:rsidRPr="009925B9">
              <w:rPr>
                <w:rFonts w:eastAsia="Times New Roman" w:cs="Times New Roman"/>
                <w:szCs w:val="24"/>
              </w:rPr>
              <w:t>to ņem vērā</w:t>
            </w:r>
            <w:r w:rsidR="00962BBA">
              <w:rPr>
                <w:rFonts w:eastAsia="Times New Roman" w:cs="Times New Roman"/>
                <w:szCs w:val="24"/>
              </w:rPr>
              <w:t>,</w:t>
            </w:r>
            <w:r w:rsidR="00631284" w:rsidRPr="009925B9">
              <w:rPr>
                <w:rFonts w:eastAsia="Times New Roman" w:cs="Times New Roman"/>
                <w:szCs w:val="24"/>
              </w:rPr>
              <w:t xml:space="preserve"> nosakot gadskārtējā valsts </w:t>
            </w:r>
            <w:r w:rsidR="00F9754B" w:rsidRPr="009925B9">
              <w:rPr>
                <w:rFonts w:eastAsia="Times New Roman" w:cs="Times New Roman"/>
                <w:szCs w:val="24"/>
              </w:rPr>
              <w:t>budžeta likum</w:t>
            </w:r>
            <w:r w:rsidR="00B65D2D" w:rsidRPr="009925B9">
              <w:rPr>
                <w:rFonts w:eastAsia="Times New Roman" w:cs="Times New Roman"/>
                <w:szCs w:val="24"/>
              </w:rPr>
              <w:t>a projekt</w:t>
            </w:r>
            <w:r w:rsidR="00F9754B" w:rsidRPr="009925B9">
              <w:rPr>
                <w:rFonts w:eastAsia="Times New Roman" w:cs="Times New Roman"/>
                <w:szCs w:val="24"/>
              </w:rPr>
              <w:t xml:space="preserve">ā </w:t>
            </w:r>
            <w:r w:rsidR="00B65D2D" w:rsidRPr="009925B9">
              <w:rPr>
                <w:rFonts w:eastAsia="Times New Roman" w:cs="Times New Roman"/>
                <w:szCs w:val="24"/>
              </w:rPr>
              <w:t xml:space="preserve">paredzamo </w:t>
            </w:r>
            <w:r w:rsidR="00F9754B" w:rsidRPr="009925B9">
              <w:rPr>
                <w:rFonts w:eastAsia="Times New Roman" w:cs="Times New Roman"/>
                <w:szCs w:val="24"/>
              </w:rPr>
              <w:t>ma</w:t>
            </w:r>
            <w:r w:rsidR="00B65D2D" w:rsidRPr="009925B9">
              <w:rPr>
                <w:rFonts w:eastAsia="Times New Roman" w:cs="Times New Roman"/>
                <w:szCs w:val="24"/>
              </w:rPr>
              <w:t>ksimālo</w:t>
            </w:r>
            <w:r w:rsidR="00F9754B" w:rsidRPr="009925B9">
              <w:rPr>
                <w:rFonts w:eastAsia="Times New Roman" w:cs="Times New Roman"/>
                <w:szCs w:val="24"/>
              </w:rPr>
              <w:t xml:space="preserve"> valsts aizdevumu kopējā palielinājuma limit</w:t>
            </w:r>
            <w:r w:rsidR="00B65D2D" w:rsidRPr="009925B9">
              <w:rPr>
                <w:rFonts w:eastAsia="Times New Roman" w:cs="Times New Roman"/>
                <w:szCs w:val="24"/>
              </w:rPr>
              <w:t>u</w:t>
            </w:r>
            <w:r w:rsidR="00F9754B" w:rsidRPr="009925B9">
              <w:rPr>
                <w:rFonts w:eastAsia="Times New Roman" w:cs="Times New Roman"/>
                <w:szCs w:val="24"/>
              </w:rPr>
              <w:t>.</w:t>
            </w:r>
            <w:r w:rsidR="00962BBA">
              <w:rPr>
                <w:rFonts w:eastAsia="Times New Roman" w:cs="Times New Roman"/>
                <w:szCs w:val="24"/>
              </w:rPr>
              <w:t xml:space="preserve"> </w:t>
            </w:r>
            <w:r w:rsidR="003C615F" w:rsidRPr="009925B9">
              <w:rPr>
                <w:rFonts w:eastAsia="Times New Roman" w:cs="Times New Roman"/>
                <w:szCs w:val="24"/>
              </w:rPr>
              <w:t xml:space="preserve">Citos gadījumos valsts aizdevumu kopējā palielinājuma limitu </w:t>
            </w:r>
            <w:r w:rsidR="00B65D2D" w:rsidRPr="009925B9">
              <w:rPr>
                <w:rFonts w:eastAsia="Times New Roman" w:cs="Times New Roman"/>
                <w:szCs w:val="24"/>
              </w:rPr>
              <w:t xml:space="preserve">iekļaušanai </w:t>
            </w:r>
            <w:r w:rsidR="003C615F" w:rsidRPr="009925B9">
              <w:rPr>
                <w:rFonts w:eastAsia="Times New Roman" w:cs="Times New Roman"/>
                <w:szCs w:val="24"/>
              </w:rPr>
              <w:t>gadskārtējā valsts budžeta likum</w:t>
            </w:r>
            <w:r w:rsidR="00B65D2D" w:rsidRPr="009925B9">
              <w:rPr>
                <w:rFonts w:eastAsia="Times New Roman" w:cs="Times New Roman"/>
                <w:szCs w:val="24"/>
              </w:rPr>
              <w:t>a</w:t>
            </w:r>
            <w:r w:rsidR="003C615F" w:rsidRPr="009925B9">
              <w:rPr>
                <w:rFonts w:eastAsia="Times New Roman" w:cs="Times New Roman"/>
                <w:szCs w:val="24"/>
              </w:rPr>
              <w:t xml:space="preserve"> </w:t>
            </w:r>
            <w:r w:rsidR="00B65D2D" w:rsidRPr="009925B9">
              <w:rPr>
                <w:rFonts w:eastAsia="Times New Roman" w:cs="Times New Roman"/>
                <w:szCs w:val="24"/>
              </w:rPr>
              <w:t xml:space="preserve">projektā </w:t>
            </w:r>
            <w:r w:rsidR="003C615F" w:rsidRPr="009925B9">
              <w:rPr>
                <w:rFonts w:eastAsia="Times New Roman" w:cs="Times New Roman"/>
                <w:szCs w:val="24"/>
              </w:rPr>
              <w:t>nosaka Finanšu ministrija.</w:t>
            </w:r>
          </w:p>
          <w:p w14:paraId="3846C372" w14:textId="77777777" w:rsidR="002527A8" w:rsidRPr="009925B9" w:rsidRDefault="002527A8" w:rsidP="005B411F">
            <w:pPr>
              <w:pStyle w:val="ListParagraph"/>
              <w:spacing w:after="0" w:line="240" w:lineRule="auto"/>
              <w:ind w:left="0"/>
              <w:jc w:val="both"/>
              <w:rPr>
                <w:rFonts w:eastAsia="Times New Roman" w:cs="Times New Roman"/>
                <w:szCs w:val="24"/>
              </w:rPr>
            </w:pPr>
          </w:p>
          <w:p w14:paraId="568929BF" w14:textId="4DB9BD6B" w:rsidR="00C919E6" w:rsidRDefault="003C615F" w:rsidP="005B411F">
            <w:pPr>
              <w:pStyle w:val="ListParagraph"/>
              <w:spacing w:after="0" w:line="240" w:lineRule="auto"/>
              <w:ind w:left="0"/>
              <w:jc w:val="both"/>
              <w:rPr>
                <w:rFonts w:eastAsia="Times New Roman" w:cs="Times New Roman"/>
                <w:szCs w:val="24"/>
              </w:rPr>
            </w:pPr>
            <w:r w:rsidRPr="009925B9">
              <w:rPr>
                <w:rFonts w:eastAsia="Times New Roman" w:cs="Times New Roman"/>
                <w:szCs w:val="24"/>
              </w:rPr>
              <w:t>S</w:t>
            </w:r>
            <w:r w:rsidR="002527A8" w:rsidRPr="009925B9">
              <w:rPr>
                <w:rFonts w:eastAsia="Times New Roman" w:cs="Times New Roman"/>
                <w:szCs w:val="24"/>
              </w:rPr>
              <w:t xml:space="preserve">avukārt </w:t>
            </w:r>
            <w:r w:rsidRPr="009925B9">
              <w:rPr>
                <w:rFonts w:eastAsia="Times New Roman" w:cs="Times New Roman"/>
                <w:szCs w:val="24"/>
              </w:rPr>
              <w:t xml:space="preserve">termins </w:t>
            </w:r>
            <w:r w:rsidR="00C919E6" w:rsidRPr="009925B9">
              <w:rPr>
                <w:rFonts w:eastAsia="Times New Roman" w:cs="Times New Roman"/>
                <w:szCs w:val="24"/>
              </w:rPr>
              <w:t>“aizņēmējs” attiecas uz to subjektu loku, ar kuru jau ir noslēgts aizdevuma līgums.</w:t>
            </w:r>
          </w:p>
          <w:p w14:paraId="69A4A39C" w14:textId="33676AED" w:rsidR="009D686A" w:rsidRDefault="009D686A" w:rsidP="005B411F">
            <w:pPr>
              <w:pStyle w:val="ListParagraph"/>
              <w:spacing w:after="0" w:line="240" w:lineRule="auto"/>
              <w:ind w:left="0"/>
              <w:jc w:val="both"/>
              <w:rPr>
                <w:rFonts w:eastAsia="Times New Roman" w:cs="Times New Roman"/>
                <w:szCs w:val="24"/>
              </w:rPr>
            </w:pPr>
          </w:p>
          <w:p w14:paraId="217DD00E" w14:textId="7B3699AB" w:rsidR="009D686A" w:rsidRDefault="004A4E6C" w:rsidP="005B411F">
            <w:pPr>
              <w:pStyle w:val="ListParagraph"/>
              <w:spacing w:after="0" w:line="240" w:lineRule="auto"/>
              <w:ind w:left="0"/>
              <w:jc w:val="both"/>
              <w:rPr>
                <w:rFonts w:eastAsia="Times New Roman" w:cs="Times New Roman"/>
                <w:szCs w:val="24"/>
              </w:rPr>
            </w:pPr>
            <w:r>
              <w:rPr>
                <w:rFonts w:eastAsia="Times New Roman" w:cs="Times New Roman"/>
                <w:szCs w:val="24"/>
              </w:rPr>
              <w:t xml:space="preserve">Vispārējā kārtībā lēmumu par pašvaldības tiesībām </w:t>
            </w:r>
            <w:r w:rsidR="00C95D5D">
              <w:rPr>
                <w:rFonts w:eastAsia="Times New Roman" w:cs="Times New Roman"/>
                <w:szCs w:val="24"/>
              </w:rPr>
              <w:t xml:space="preserve">piesaistīt finanšu resursus aizņēmuma veidā vai sniegt galvojumu </w:t>
            </w:r>
            <w:r>
              <w:rPr>
                <w:rFonts w:eastAsia="Times New Roman" w:cs="Times New Roman"/>
                <w:szCs w:val="24"/>
              </w:rPr>
              <w:t xml:space="preserve">pieņem </w:t>
            </w:r>
            <w:r w:rsidR="009D686A">
              <w:rPr>
                <w:rFonts w:eastAsia="Times New Roman" w:cs="Times New Roman"/>
                <w:szCs w:val="24"/>
              </w:rPr>
              <w:t xml:space="preserve"> “</w:t>
            </w:r>
            <w:r w:rsidR="009D686A" w:rsidRPr="009D686A">
              <w:rPr>
                <w:rFonts w:eastAsia="Times New Roman" w:cs="Times New Roman"/>
                <w:szCs w:val="24"/>
              </w:rPr>
              <w:t>Pašvaldību aizņēmumu un galvojumu kontroles un pārraudzības padome</w:t>
            </w:r>
            <w:r w:rsidR="009D686A">
              <w:rPr>
                <w:rFonts w:eastAsia="Times New Roman" w:cs="Times New Roman"/>
                <w:szCs w:val="24"/>
              </w:rPr>
              <w:t xml:space="preserve">”, kura </w:t>
            </w:r>
            <w:r w:rsidR="009D686A" w:rsidRPr="009D686A">
              <w:rPr>
                <w:rFonts w:eastAsia="Times New Roman" w:cs="Times New Roman"/>
                <w:szCs w:val="24"/>
              </w:rPr>
              <w:t>izveido</w:t>
            </w:r>
            <w:r w:rsidR="009D686A">
              <w:rPr>
                <w:rFonts w:eastAsia="Times New Roman" w:cs="Times New Roman"/>
                <w:szCs w:val="24"/>
              </w:rPr>
              <w:t>ta</w:t>
            </w:r>
            <w:r w:rsidR="009D686A" w:rsidRPr="009D686A">
              <w:rPr>
                <w:rFonts w:eastAsia="Times New Roman" w:cs="Times New Roman"/>
                <w:szCs w:val="24"/>
              </w:rPr>
              <w:t xml:space="preserve"> saskaņā ar Ministru kabineta 2008.gada 25.marta noteikumiem Nr.196 „Noteikumi par pašvaldību aizņēmumiem un galvojumiem", lai pārraudzītu pašvaldību finansiālo darbību jautājumos, kas saistīti ar ņemtajiem aizņēmumiem, sniegtajiem galvojumiem un plānotajiem aizņēmumiem un galvojumiem, kā arī,</w:t>
            </w:r>
            <w:r w:rsidR="009D686A">
              <w:t xml:space="preserve"> </w:t>
            </w:r>
            <w:r w:rsidR="009D686A" w:rsidRPr="009D686A">
              <w:rPr>
                <w:rFonts w:eastAsia="Times New Roman" w:cs="Times New Roman"/>
                <w:szCs w:val="24"/>
              </w:rPr>
              <w:t>ja nepieciešams, sniegtu pašvaldībām ieteikumus turpmākajai finansiālajai darbībai.</w:t>
            </w:r>
          </w:p>
          <w:p w14:paraId="53B2F2B5" w14:textId="15FB8950" w:rsidR="009D686A" w:rsidRDefault="009D686A" w:rsidP="005B411F">
            <w:pPr>
              <w:pStyle w:val="ListParagraph"/>
              <w:spacing w:after="0" w:line="240" w:lineRule="auto"/>
              <w:ind w:left="0"/>
              <w:jc w:val="both"/>
              <w:rPr>
                <w:rFonts w:eastAsia="Times New Roman" w:cs="Times New Roman"/>
                <w:szCs w:val="24"/>
              </w:rPr>
            </w:pPr>
          </w:p>
          <w:p w14:paraId="2F1C164F" w14:textId="3A4DB8E2" w:rsidR="0089592A" w:rsidRDefault="003311C4" w:rsidP="005B411F">
            <w:pPr>
              <w:pStyle w:val="ListParagraph"/>
              <w:spacing w:after="0" w:line="240" w:lineRule="auto"/>
              <w:ind w:left="0"/>
              <w:jc w:val="both"/>
              <w:rPr>
                <w:rFonts w:eastAsia="Times New Roman" w:cs="Times New Roman"/>
                <w:szCs w:val="24"/>
              </w:rPr>
            </w:pPr>
            <w:r>
              <w:rPr>
                <w:rFonts w:eastAsia="Times New Roman" w:cs="Times New Roman"/>
                <w:szCs w:val="24"/>
              </w:rPr>
              <w:t>Noteikumu projektā ar terminu “Valsts atbalsta programma” šobrīd tiek identificēta jebkura akciju sabiedrības “</w:t>
            </w:r>
            <w:r w:rsidRPr="003311C4">
              <w:rPr>
                <w:rFonts w:eastAsia="Times New Roman" w:cs="Times New Roman"/>
                <w:szCs w:val="24"/>
              </w:rPr>
              <w:t xml:space="preserve">Attīstības finanšu institūcija </w:t>
            </w:r>
            <w:proofErr w:type="spellStart"/>
            <w:r w:rsidRPr="003311C4">
              <w:rPr>
                <w:rFonts w:eastAsia="Times New Roman" w:cs="Times New Roman"/>
                <w:szCs w:val="24"/>
              </w:rPr>
              <w:t>Altum</w:t>
            </w:r>
            <w:proofErr w:type="spellEnd"/>
            <w:r>
              <w:rPr>
                <w:rFonts w:eastAsia="Times New Roman" w:cs="Times New Roman"/>
                <w:szCs w:val="24"/>
              </w:rPr>
              <w:t>” īstenotā valsts atbalsta programma</w:t>
            </w:r>
            <w:r w:rsidR="0089592A">
              <w:rPr>
                <w:rFonts w:eastAsia="Times New Roman" w:cs="Times New Roman"/>
                <w:szCs w:val="24"/>
              </w:rPr>
              <w:t>, kurai tiek izsniegts valsts aizdevums un kura atbilsts EK lēmumam lietā SA.36904</w:t>
            </w:r>
            <w:r>
              <w:rPr>
                <w:rFonts w:eastAsia="Times New Roman" w:cs="Times New Roman"/>
                <w:szCs w:val="24"/>
              </w:rPr>
              <w:t>.</w:t>
            </w:r>
          </w:p>
          <w:p w14:paraId="52BA8E71" w14:textId="2EAFDB5E" w:rsidR="007204E6" w:rsidRDefault="007204E6" w:rsidP="005B411F">
            <w:pPr>
              <w:pStyle w:val="ListParagraph"/>
              <w:spacing w:after="0" w:line="240" w:lineRule="auto"/>
              <w:ind w:left="0"/>
              <w:jc w:val="both"/>
              <w:rPr>
                <w:rFonts w:eastAsia="Times New Roman" w:cs="Times New Roman"/>
                <w:szCs w:val="24"/>
              </w:rPr>
            </w:pPr>
          </w:p>
          <w:p w14:paraId="11CFAB78" w14:textId="359AA3D7" w:rsidR="007204E6" w:rsidRDefault="007204E6" w:rsidP="005B411F">
            <w:pPr>
              <w:pStyle w:val="ListParagraph"/>
              <w:spacing w:after="0" w:line="240" w:lineRule="auto"/>
              <w:ind w:left="0"/>
              <w:jc w:val="both"/>
              <w:rPr>
                <w:rFonts w:eastAsia="Times New Roman" w:cs="Times New Roman"/>
                <w:szCs w:val="24"/>
              </w:rPr>
            </w:pPr>
            <w:r>
              <w:rPr>
                <w:rFonts w:eastAsia="Times New Roman" w:cs="Times New Roman"/>
                <w:szCs w:val="24"/>
              </w:rPr>
              <w:t>Savukārt, lai atbalsta programma, t.sk. valsts atbalsta programma,</w:t>
            </w:r>
            <w:r w:rsidRPr="007204E6">
              <w:rPr>
                <w:rFonts w:eastAsia="Times New Roman" w:cs="Times New Roman"/>
                <w:szCs w:val="24"/>
              </w:rPr>
              <w:t xml:space="preserve"> atbilst</w:t>
            </w:r>
            <w:r>
              <w:rPr>
                <w:rFonts w:eastAsia="Times New Roman" w:cs="Times New Roman"/>
                <w:szCs w:val="24"/>
              </w:rPr>
              <w:t>u</w:t>
            </w:r>
            <w:r w:rsidRPr="007204E6">
              <w:rPr>
                <w:rFonts w:eastAsia="Times New Roman" w:cs="Times New Roman"/>
                <w:szCs w:val="24"/>
              </w:rPr>
              <w:t xml:space="preserve"> Eiropas Komisijas normatīvo aktu regulējumam valsts atbalsta jomā</w:t>
            </w:r>
            <w:r>
              <w:rPr>
                <w:rFonts w:eastAsia="Times New Roman" w:cs="Times New Roman"/>
                <w:szCs w:val="24"/>
              </w:rPr>
              <w:t xml:space="preserve"> ir jābūt izstrādātai </w:t>
            </w:r>
            <w:r w:rsidRPr="007204E6">
              <w:rPr>
                <w:rFonts w:eastAsia="Times New Roman" w:cs="Times New Roman"/>
                <w:szCs w:val="24"/>
              </w:rPr>
              <w:t>atbilstoši Padomes regulas (ES) 2015/1589 (2015.gada 13.jūlijs), ar ko nosaka sīki izstrādātus noteikumus Līguma par Eiropas Savienības darbību 108.panta piemērošanai (kodificētā red</w:t>
            </w:r>
            <w:r>
              <w:rPr>
                <w:rFonts w:eastAsia="Times New Roman" w:cs="Times New Roman"/>
                <w:szCs w:val="24"/>
              </w:rPr>
              <w:t>akcija) 1.panta d) apakšpunktam.</w:t>
            </w:r>
          </w:p>
          <w:p w14:paraId="6BCD2F56" w14:textId="77777777" w:rsidR="003311C4" w:rsidRPr="00C32CEF" w:rsidRDefault="003311C4" w:rsidP="005B411F">
            <w:pPr>
              <w:pStyle w:val="ListParagraph"/>
              <w:spacing w:after="0" w:line="240" w:lineRule="auto"/>
              <w:ind w:left="0"/>
              <w:jc w:val="both"/>
              <w:rPr>
                <w:rFonts w:eastAsia="Times New Roman" w:cs="Times New Roman"/>
                <w:szCs w:val="24"/>
              </w:rPr>
            </w:pPr>
          </w:p>
          <w:p w14:paraId="12C23E7A" w14:textId="13793825" w:rsidR="00AD385D" w:rsidRPr="00C32CEF" w:rsidRDefault="00A80442"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w:t>
            </w:r>
            <w:r w:rsidR="00257219" w:rsidRPr="00C32CEF">
              <w:rPr>
                <w:rFonts w:eastAsia="Times New Roman" w:cs="Times New Roman"/>
                <w:szCs w:val="24"/>
              </w:rPr>
              <w:t>oteikumu</w:t>
            </w:r>
            <w:r w:rsidR="00D2223D" w:rsidRPr="00C32CEF">
              <w:rPr>
                <w:rFonts w:eastAsia="Times New Roman" w:cs="Times New Roman"/>
                <w:szCs w:val="24"/>
              </w:rPr>
              <w:t xml:space="preserve"> projekta</w:t>
            </w:r>
            <w:r w:rsidR="00F67FB7" w:rsidRPr="00C32CEF">
              <w:rPr>
                <w:rFonts w:eastAsia="Times New Roman" w:cs="Times New Roman"/>
                <w:szCs w:val="24"/>
              </w:rPr>
              <w:t xml:space="preserve"> </w:t>
            </w:r>
            <w:r w:rsidR="00F83D33" w:rsidRPr="00C32CEF">
              <w:rPr>
                <w:rFonts w:eastAsia="Times New Roman" w:cs="Times New Roman"/>
                <w:szCs w:val="24"/>
              </w:rPr>
              <w:t>II </w:t>
            </w:r>
            <w:r w:rsidR="00D2223D" w:rsidRPr="00C32CEF">
              <w:rPr>
                <w:rFonts w:eastAsia="Times New Roman" w:cs="Times New Roman"/>
                <w:szCs w:val="24"/>
              </w:rPr>
              <w:t>no</w:t>
            </w:r>
            <w:r w:rsidR="00874157" w:rsidRPr="00C32CEF">
              <w:rPr>
                <w:rFonts w:eastAsia="Times New Roman" w:cs="Times New Roman"/>
                <w:szCs w:val="24"/>
              </w:rPr>
              <w:t xml:space="preserve">daļā </w:t>
            </w:r>
            <w:r w:rsidR="00391FEB" w:rsidRPr="00C32CEF">
              <w:rPr>
                <w:rFonts w:eastAsia="Times New Roman" w:cs="Times New Roman"/>
                <w:szCs w:val="24"/>
              </w:rPr>
              <w:t xml:space="preserve">aktualizēts </w:t>
            </w:r>
            <w:r w:rsidR="00874157" w:rsidRPr="00C32CEF">
              <w:rPr>
                <w:rFonts w:eastAsia="Times New Roman" w:cs="Times New Roman"/>
                <w:szCs w:val="24"/>
              </w:rPr>
              <w:t>nozares ministrijā iesniedzamo dokumentu apjoms</w:t>
            </w:r>
            <w:r w:rsidR="00391FEB" w:rsidRPr="00C32CEF">
              <w:rPr>
                <w:rFonts w:eastAsia="Times New Roman" w:cs="Times New Roman"/>
                <w:szCs w:val="24"/>
              </w:rPr>
              <w:t xml:space="preserve"> un kārtība</w:t>
            </w:r>
            <w:r w:rsidR="00874157" w:rsidRPr="00C32CEF">
              <w:rPr>
                <w:rFonts w:eastAsia="Times New Roman" w:cs="Times New Roman"/>
                <w:szCs w:val="24"/>
              </w:rPr>
              <w:t xml:space="preserve">, ļaujot vērtējamo dokumentu klāstu noteikt </w:t>
            </w:r>
            <w:r w:rsidR="00874157" w:rsidRPr="00C32CEF">
              <w:rPr>
                <w:rFonts w:eastAsia="Times New Roman" w:cs="Times New Roman"/>
                <w:szCs w:val="24"/>
              </w:rPr>
              <w:lastRenderedPageBreak/>
              <w:t xml:space="preserve">katrai nozares ministrijai. </w:t>
            </w:r>
            <w:r w:rsidR="0067508B" w:rsidRPr="00C32CEF">
              <w:rPr>
                <w:rFonts w:eastAsia="Times New Roman" w:cs="Times New Roman"/>
                <w:szCs w:val="24"/>
              </w:rPr>
              <w:t>I</w:t>
            </w:r>
            <w:r w:rsidR="00874157" w:rsidRPr="00C32CEF">
              <w:rPr>
                <w:rFonts w:eastAsia="Times New Roman" w:cs="Times New Roman"/>
                <w:szCs w:val="24"/>
              </w:rPr>
              <w:t xml:space="preserve">nformāciju par pašvaldību kapitālsabiedrību plānotajiem aizņēmumiem līdz šim nav sniegusi neviena no </w:t>
            </w:r>
            <w:r w:rsidR="00FF20F9" w:rsidRPr="00C32CEF">
              <w:rPr>
                <w:rFonts w:eastAsia="Times New Roman" w:cs="Times New Roman"/>
                <w:szCs w:val="24"/>
              </w:rPr>
              <w:t xml:space="preserve">nozares </w:t>
            </w:r>
            <w:r w:rsidRPr="00C32CEF">
              <w:rPr>
                <w:rFonts w:eastAsia="Times New Roman" w:cs="Times New Roman"/>
                <w:szCs w:val="24"/>
              </w:rPr>
              <w:t>ministrijām</w:t>
            </w:r>
            <w:r w:rsidR="00962BBA">
              <w:rPr>
                <w:rFonts w:eastAsia="Times New Roman" w:cs="Times New Roman"/>
                <w:szCs w:val="24"/>
              </w:rPr>
              <w:t>,</w:t>
            </w:r>
            <w:r w:rsidR="0067508B" w:rsidRPr="00C32CEF">
              <w:rPr>
                <w:rFonts w:eastAsia="Times New Roman" w:cs="Times New Roman"/>
                <w:szCs w:val="24"/>
              </w:rPr>
              <w:t xml:space="preserve"> un arī jaunā tiesību norma neparedz </w:t>
            </w:r>
            <w:r w:rsidR="005B4C38" w:rsidRPr="00C32CEF">
              <w:rPr>
                <w:rFonts w:eastAsia="Times New Roman" w:cs="Times New Roman"/>
                <w:szCs w:val="24"/>
              </w:rPr>
              <w:t>šādu pienākumu</w:t>
            </w:r>
            <w:r w:rsidR="0067508B" w:rsidRPr="00C32CEF">
              <w:rPr>
                <w:rFonts w:eastAsia="Times New Roman" w:cs="Times New Roman"/>
                <w:szCs w:val="24"/>
              </w:rPr>
              <w:t>, jo</w:t>
            </w:r>
            <w:r w:rsidRPr="00C32CEF">
              <w:rPr>
                <w:rFonts w:eastAsia="Times New Roman" w:cs="Times New Roman"/>
                <w:szCs w:val="24"/>
              </w:rPr>
              <w:t xml:space="preserve"> </w:t>
            </w:r>
            <w:r w:rsidR="00874157" w:rsidRPr="00C32CEF">
              <w:rPr>
                <w:rFonts w:eastAsia="Times New Roman" w:cs="Times New Roman"/>
                <w:szCs w:val="24"/>
              </w:rPr>
              <w:t>valsts aizdevumu limits pašvaldību kapitālsabiedrībām tiek plānots</w:t>
            </w:r>
            <w:r w:rsidR="002A120D" w:rsidRPr="00C32CEF">
              <w:rPr>
                <w:rFonts w:eastAsia="Times New Roman" w:cs="Times New Roman"/>
                <w:szCs w:val="24"/>
              </w:rPr>
              <w:t>,</w:t>
            </w:r>
            <w:r w:rsidR="00874157" w:rsidRPr="00C32CEF">
              <w:rPr>
                <w:rFonts w:eastAsia="Times New Roman" w:cs="Times New Roman"/>
                <w:szCs w:val="24"/>
              </w:rPr>
              <w:t xml:space="preserve"> pamatojoties uz gadskārtējā valsts budžetu likumā paredzēto pašvaldību galvojumu apmēru, pieņemot, ka visas pašvaldību kapitālsabiedrības aizņēmumus ņems no valsts budžeta</w:t>
            </w:r>
            <w:r w:rsidR="002A120D" w:rsidRPr="00C32CEF">
              <w:rPr>
                <w:rFonts w:eastAsia="Times New Roman" w:cs="Times New Roman"/>
                <w:szCs w:val="24"/>
              </w:rPr>
              <w:t xml:space="preserve"> resursie</w:t>
            </w:r>
            <w:r w:rsidR="0067508B" w:rsidRPr="00C32CEF">
              <w:rPr>
                <w:rFonts w:eastAsia="Times New Roman" w:cs="Times New Roman"/>
                <w:szCs w:val="24"/>
              </w:rPr>
              <w:t>m.</w:t>
            </w:r>
          </w:p>
          <w:p w14:paraId="36C96A3C" w14:textId="15BF3EB0" w:rsidR="008F6D17" w:rsidRPr="00C32CEF" w:rsidRDefault="008F6D17" w:rsidP="005B411F">
            <w:pPr>
              <w:pStyle w:val="ListParagraph"/>
              <w:spacing w:after="0" w:line="240" w:lineRule="auto"/>
              <w:ind w:left="56"/>
              <w:jc w:val="both"/>
              <w:rPr>
                <w:rFonts w:eastAsia="Times New Roman" w:cs="Times New Roman"/>
                <w:szCs w:val="24"/>
              </w:rPr>
            </w:pPr>
          </w:p>
          <w:p w14:paraId="3C7E5A07" w14:textId="31F61CBE" w:rsidR="00F67FB7" w:rsidRPr="00C32CEF" w:rsidRDefault="00F83D33"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Noteikumu projekta III </w:t>
            </w:r>
            <w:r w:rsidR="00A80442" w:rsidRPr="00C32CEF">
              <w:rPr>
                <w:rFonts w:eastAsia="Times New Roman" w:cs="Times New Roman"/>
                <w:szCs w:val="24"/>
              </w:rPr>
              <w:t xml:space="preserve">nodaļā </w:t>
            </w:r>
            <w:r w:rsidR="006B753B" w:rsidRPr="00C32CEF">
              <w:rPr>
                <w:rFonts w:eastAsia="Times New Roman" w:cs="Times New Roman"/>
                <w:szCs w:val="24"/>
              </w:rPr>
              <w:t>–</w:t>
            </w:r>
            <w:r w:rsidR="00A80442" w:rsidRPr="00C32CEF">
              <w:rPr>
                <w:rFonts w:eastAsia="Times New Roman" w:cs="Times New Roman"/>
                <w:szCs w:val="24"/>
              </w:rPr>
              <w:t xml:space="preserve"> vispār</w:t>
            </w:r>
            <w:r w:rsidR="00EE1877">
              <w:rPr>
                <w:rFonts w:eastAsia="Times New Roman" w:cs="Times New Roman"/>
                <w:szCs w:val="24"/>
              </w:rPr>
              <w:t>ējie</w:t>
            </w:r>
            <w:r w:rsidR="00A80442" w:rsidRPr="00C32CEF">
              <w:rPr>
                <w:rFonts w:eastAsia="Times New Roman" w:cs="Times New Roman"/>
                <w:szCs w:val="24"/>
              </w:rPr>
              <w:t xml:space="preserve"> valsts aizdevuma </w:t>
            </w:r>
            <w:r w:rsidR="00EE1877">
              <w:rPr>
                <w:rFonts w:eastAsia="Times New Roman" w:cs="Times New Roman"/>
                <w:szCs w:val="24"/>
              </w:rPr>
              <w:t xml:space="preserve">izsniegšanas </w:t>
            </w:r>
            <w:r w:rsidR="00A80442" w:rsidRPr="00C32CEF">
              <w:rPr>
                <w:rFonts w:eastAsia="Times New Roman" w:cs="Times New Roman"/>
                <w:szCs w:val="24"/>
              </w:rPr>
              <w:t xml:space="preserve">nosacījumi </w:t>
            </w:r>
            <w:r w:rsidR="006B753B" w:rsidRPr="00C32CEF">
              <w:rPr>
                <w:rFonts w:eastAsia="Times New Roman" w:cs="Times New Roman"/>
                <w:szCs w:val="24"/>
              </w:rPr>
              <w:t>–</w:t>
            </w:r>
            <w:r w:rsidR="00A80442" w:rsidRPr="00C32CEF">
              <w:rPr>
                <w:rFonts w:eastAsia="Times New Roman" w:cs="Times New Roman"/>
                <w:szCs w:val="24"/>
              </w:rPr>
              <w:t xml:space="preserve"> s</w:t>
            </w:r>
            <w:r w:rsidR="00BB1640" w:rsidRPr="00C32CEF">
              <w:rPr>
                <w:rFonts w:eastAsia="Times New Roman" w:cs="Times New Roman"/>
                <w:szCs w:val="24"/>
              </w:rPr>
              <w:t>aglabāta esošā kārtība.</w:t>
            </w:r>
          </w:p>
          <w:p w14:paraId="2BCE0271" w14:textId="77777777" w:rsidR="00AD385D" w:rsidRPr="00C32CEF" w:rsidRDefault="00AD385D" w:rsidP="005B411F">
            <w:pPr>
              <w:pStyle w:val="ListParagraph"/>
              <w:spacing w:after="0" w:line="240" w:lineRule="auto"/>
              <w:ind w:left="56"/>
              <w:jc w:val="both"/>
              <w:rPr>
                <w:rFonts w:eastAsia="Times New Roman" w:cs="Times New Roman"/>
                <w:szCs w:val="24"/>
              </w:rPr>
            </w:pPr>
          </w:p>
          <w:p w14:paraId="125EF0AC" w14:textId="69311964" w:rsidR="00112FA1" w:rsidRPr="00C32CEF" w:rsidRDefault="00625EFD"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Noteikumu projekta IV </w:t>
            </w:r>
            <w:r w:rsidR="00A80442" w:rsidRPr="00C32CEF">
              <w:rPr>
                <w:rFonts w:eastAsia="Times New Roman" w:cs="Times New Roman"/>
                <w:szCs w:val="24"/>
              </w:rPr>
              <w:t xml:space="preserve">nodaļā – </w:t>
            </w:r>
            <w:r w:rsidR="00EE1877">
              <w:rPr>
                <w:rFonts w:eastAsia="Times New Roman" w:cs="Times New Roman"/>
                <w:szCs w:val="24"/>
              </w:rPr>
              <w:t xml:space="preserve">valsts </w:t>
            </w:r>
            <w:r w:rsidR="00A80442" w:rsidRPr="00C32CEF">
              <w:rPr>
                <w:rFonts w:eastAsia="Times New Roman" w:cs="Times New Roman"/>
                <w:szCs w:val="24"/>
              </w:rPr>
              <w:t>aizdevum</w:t>
            </w:r>
            <w:r w:rsidR="00EE1877">
              <w:rPr>
                <w:rFonts w:eastAsia="Times New Roman" w:cs="Times New Roman"/>
                <w:szCs w:val="24"/>
              </w:rPr>
              <w:t>a</w:t>
            </w:r>
            <w:r w:rsidR="00A80442" w:rsidRPr="00C32CEF">
              <w:rPr>
                <w:rFonts w:eastAsia="Times New Roman" w:cs="Times New Roman"/>
                <w:szCs w:val="24"/>
              </w:rPr>
              <w:t xml:space="preserve"> </w:t>
            </w:r>
            <w:r w:rsidR="00EE1877">
              <w:rPr>
                <w:rFonts w:eastAsia="Times New Roman" w:cs="Times New Roman"/>
                <w:szCs w:val="24"/>
              </w:rPr>
              <w:t xml:space="preserve">izsniegšana </w:t>
            </w:r>
            <w:r w:rsidR="00A80442" w:rsidRPr="00C32CEF">
              <w:rPr>
                <w:rFonts w:eastAsia="Times New Roman" w:cs="Times New Roman"/>
                <w:szCs w:val="24"/>
              </w:rPr>
              <w:t xml:space="preserve">pašvaldībām </w:t>
            </w:r>
            <w:r w:rsidR="00224DA6" w:rsidRPr="00C32CEF">
              <w:rPr>
                <w:rFonts w:eastAsia="Times New Roman" w:cs="Times New Roman"/>
                <w:szCs w:val="24"/>
              </w:rPr>
              <w:t>–</w:t>
            </w:r>
            <w:r w:rsidR="00A80442" w:rsidRPr="00C32CEF">
              <w:rPr>
                <w:rFonts w:eastAsia="Times New Roman" w:cs="Times New Roman"/>
                <w:szCs w:val="24"/>
              </w:rPr>
              <w:t xml:space="preserve"> saglabāta šobrīd spēkā </w:t>
            </w:r>
            <w:r w:rsidR="00AD385D" w:rsidRPr="00C32CEF">
              <w:rPr>
                <w:rFonts w:eastAsia="Times New Roman" w:cs="Times New Roman"/>
                <w:szCs w:val="24"/>
              </w:rPr>
              <w:t xml:space="preserve">esošā </w:t>
            </w:r>
            <w:r w:rsidR="00A80442" w:rsidRPr="00C32CEF">
              <w:rPr>
                <w:rFonts w:eastAsia="Times New Roman" w:cs="Times New Roman"/>
                <w:szCs w:val="24"/>
              </w:rPr>
              <w:t>kārtība</w:t>
            </w:r>
            <w:r w:rsidR="00112FA1">
              <w:rPr>
                <w:rFonts w:eastAsia="Times New Roman" w:cs="Times New Roman"/>
                <w:szCs w:val="24"/>
              </w:rPr>
              <w:t xml:space="preserve">, vienlaikus precizējot, ka </w:t>
            </w:r>
            <w:r w:rsidR="00112FA1" w:rsidRPr="00112FA1">
              <w:rPr>
                <w:rFonts w:eastAsia="Times New Roman" w:cs="Times New Roman"/>
                <w:szCs w:val="24"/>
              </w:rPr>
              <w:t>gadījumā, ja pašvaldība pieteiksies valsts aizdevuma saņemšanai komercdarbības atbalsta projekta īstenošanai, tiks piemērots attiecīgs komercdarbības atbalsta regulējums atbilstoši aizdevuma mērķim</w:t>
            </w:r>
            <w:r w:rsidR="00112FA1">
              <w:rPr>
                <w:rFonts w:eastAsia="Times New Roman" w:cs="Times New Roman"/>
                <w:szCs w:val="24"/>
              </w:rPr>
              <w:t>.</w:t>
            </w:r>
          </w:p>
          <w:p w14:paraId="12D17406" w14:textId="77777777" w:rsidR="00CD0A13" w:rsidRPr="00C32CEF" w:rsidRDefault="00CD0A13" w:rsidP="001208F9">
            <w:pPr>
              <w:pStyle w:val="ListParagraph"/>
              <w:spacing w:after="0" w:line="240" w:lineRule="auto"/>
              <w:ind w:left="360"/>
              <w:jc w:val="both"/>
              <w:rPr>
                <w:rFonts w:eastAsia="Times New Roman" w:cs="Times New Roman"/>
                <w:szCs w:val="24"/>
              </w:rPr>
            </w:pPr>
          </w:p>
          <w:p w14:paraId="2AF53790" w14:textId="0CB382D3" w:rsidR="00AF22A9" w:rsidRPr="00C32CEF" w:rsidRDefault="00A94B4B" w:rsidP="001A19EC">
            <w:pPr>
              <w:spacing w:after="0" w:line="240" w:lineRule="auto"/>
              <w:ind w:left="58"/>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Noteikumu projekta V nodaļā – </w:t>
            </w:r>
            <w:r w:rsidR="00EE1877">
              <w:rPr>
                <w:rFonts w:ascii="Times New Roman" w:eastAsia="Times New Roman" w:hAnsi="Times New Roman" w:cs="Times New Roman"/>
                <w:sz w:val="24"/>
                <w:szCs w:val="24"/>
              </w:rPr>
              <w:t xml:space="preserve">valsts </w:t>
            </w:r>
            <w:r w:rsidR="001A19EC" w:rsidRPr="00C32CEF">
              <w:rPr>
                <w:rFonts w:ascii="Times New Roman" w:eastAsia="Times New Roman" w:hAnsi="Times New Roman" w:cs="Times New Roman"/>
                <w:sz w:val="24"/>
                <w:szCs w:val="24"/>
              </w:rPr>
              <w:t>aizdevum</w:t>
            </w:r>
            <w:r w:rsidR="00EE1877">
              <w:rPr>
                <w:rFonts w:ascii="Times New Roman" w:eastAsia="Times New Roman" w:hAnsi="Times New Roman" w:cs="Times New Roman"/>
                <w:sz w:val="24"/>
                <w:szCs w:val="24"/>
              </w:rPr>
              <w:t>a</w:t>
            </w:r>
            <w:r w:rsidR="001A19EC" w:rsidRPr="00C32CEF">
              <w:rPr>
                <w:rFonts w:ascii="Times New Roman" w:eastAsia="Times New Roman" w:hAnsi="Times New Roman" w:cs="Times New Roman"/>
                <w:sz w:val="24"/>
                <w:szCs w:val="24"/>
              </w:rPr>
              <w:t xml:space="preserve"> </w:t>
            </w:r>
            <w:r w:rsidR="00EE1877">
              <w:rPr>
                <w:rFonts w:ascii="Times New Roman" w:eastAsia="Times New Roman" w:hAnsi="Times New Roman" w:cs="Times New Roman"/>
                <w:sz w:val="24"/>
                <w:szCs w:val="24"/>
              </w:rPr>
              <w:t xml:space="preserve">izsniegšana valsts </w:t>
            </w:r>
            <w:r w:rsidR="001A19EC" w:rsidRPr="00C32CEF">
              <w:rPr>
                <w:rFonts w:ascii="Times New Roman" w:eastAsia="Times New Roman" w:hAnsi="Times New Roman" w:cs="Times New Roman"/>
                <w:sz w:val="24"/>
                <w:szCs w:val="24"/>
              </w:rPr>
              <w:t>speciāl</w:t>
            </w:r>
            <w:r w:rsidR="00EE1877">
              <w:rPr>
                <w:rFonts w:ascii="Times New Roman" w:eastAsia="Times New Roman" w:hAnsi="Times New Roman" w:cs="Times New Roman"/>
                <w:sz w:val="24"/>
                <w:szCs w:val="24"/>
              </w:rPr>
              <w:t>ā</w:t>
            </w:r>
            <w:r w:rsidR="001A19EC" w:rsidRPr="00C32CEF">
              <w:rPr>
                <w:rFonts w:ascii="Times New Roman" w:eastAsia="Times New Roman" w:hAnsi="Times New Roman" w:cs="Times New Roman"/>
                <w:sz w:val="24"/>
                <w:szCs w:val="24"/>
              </w:rPr>
              <w:t xml:space="preserve"> budžeta</w:t>
            </w:r>
            <w:r w:rsidR="00EE1877">
              <w:rPr>
                <w:rFonts w:ascii="Times New Roman" w:eastAsia="Times New Roman" w:hAnsi="Times New Roman" w:cs="Times New Roman"/>
                <w:sz w:val="24"/>
                <w:szCs w:val="24"/>
              </w:rPr>
              <w:t xml:space="preserve"> izpildītājam</w:t>
            </w:r>
            <w:r w:rsidR="001A19EC" w:rsidRPr="00C32CEF">
              <w:rPr>
                <w:rFonts w:ascii="Times New Roman" w:eastAsia="Times New Roman" w:hAnsi="Times New Roman" w:cs="Times New Roman"/>
                <w:sz w:val="24"/>
                <w:szCs w:val="24"/>
              </w:rPr>
              <w:t xml:space="preserve"> – efektivizēts valsts aizdevumu izsniegšanas process speciālajam budžetam. Atbilstoši Likuma par budžetu un finanšu vadību 36.</w:t>
            </w:r>
            <w:r w:rsidR="00962BBA">
              <w:rPr>
                <w:rFonts w:ascii="Times New Roman" w:eastAsia="Times New Roman" w:hAnsi="Times New Roman" w:cs="Times New Roman"/>
                <w:sz w:val="24"/>
                <w:szCs w:val="24"/>
              </w:rPr>
              <w:t> </w:t>
            </w:r>
            <w:r w:rsidR="001A19EC" w:rsidRPr="00C32CEF">
              <w:rPr>
                <w:rFonts w:ascii="Times New Roman" w:eastAsia="Times New Roman" w:hAnsi="Times New Roman" w:cs="Times New Roman"/>
                <w:sz w:val="24"/>
                <w:szCs w:val="24"/>
              </w:rPr>
              <w:t>panta pirmā daļas nosacījumiem katru gadu finanšu ministrs apstiprina valsts aizdevumu un aizdevumu atmaksu sarakstu, atbilstoši kuram tiktu izsnieg</w:t>
            </w:r>
            <w:r w:rsidR="001B532C" w:rsidRPr="00C32CEF">
              <w:rPr>
                <w:rFonts w:ascii="Times New Roman" w:eastAsia="Times New Roman" w:hAnsi="Times New Roman" w:cs="Times New Roman"/>
                <w:sz w:val="24"/>
                <w:szCs w:val="24"/>
              </w:rPr>
              <w:t>ts valsts aizdevums arī speciāla</w:t>
            </w:r>
            <w:r w:rsidR="001A19EC" w:rsidRPr="00C32CEF">
              <w:rPr>
                <w:rFonts w:ascii="Times New Roman" w:eastAsia="Times New Roman" w:hAnsi="Times New Roman" w:cs="Times New Roman"/>
                <w:sz w:val="24"/>
                <w:szCs w:val="24"/>
              </w:rPr>
              <w:t xml:space="preserve">jam budžetam, savukārt ilgtermiņa aizdevums tiek izsniegts, ja tas ir paredzēts gadskārtējā valsts budžeta likumā. Tādējādi gan nozares ministrija, gan </w:t>
            </w:r>
            <w:r w:rsidR="005B411F" w:rsidRPr="00C32CEF">
              <w:rPr>
                <w:rFonts w:ascii="Times New Roman" w:eastAsia="Times New Roman" w:hAnsi="Times New Roman" w:cs="Times New Roman"/>
                <w:sz w:val="24"/>
                <w:szCs w:val="24"/>
              </w:rPr>
              <w:t xml:space="preserve">Finanšu </w:t>
            </w:r>
            <w:r w:rsidR="001A19EC" w:rsidRPr="00C32CEF">
              <w:rPr>
                <w:rFonts w:ascii="Times New Roman" w:eastAsia="Times New Roman" w:hAnsi="Times New Roman" w:cs="Times New Roman"/>
                <w:sz w:val="24"/>
                <w:szCs w:val="24"/>
              </w:rPr>
              <w:t>ministrija ir vērtējusi valsts aizdevuma pamatotību speciālā budžeta funkciju nodrošināšanai un atsevišķa Valsts kases atzinuma sagatavošana nav nepieciešama.</w:t>
            </w:r>
          </w:p>
          <w:p w14:paraId="535FFD4D" w14:textId="28DEB5D3" w:rsidR="001A19EC" w:rsidRPr="00C32CEF" w:rsidRDefault="001A19EC" w:rsidP="001A19EC">
            <w:pPr>
              <w:spacing w:after="0" w:line="240" w:lineRule="auto"/>
              <w:ind w:left="58"/>
              <w:jc w:val="both"/>
              <w:rPr>
                <w:rFonts w:ascii="Times New Roman" w:eastAsia="Times New Roman" w:hAnsi="Times New Roman" w:cs="Times New Roman"/>
                <w:sz w:val="24"/>
                <w:szCs w:val="24"/>
              </w:rPr>
            </w:pPr>
          </w:p>
          <w:p w14:paraId="5D29706C" w14:textId="7BB6980E" w:rsidR="00E41CD6" w:rsidRPr="00C32CEF" w:rsidRDefault="003E5C57" w:rsidP="003E5C57">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Noteikumu projekta VI nodaļā –  valsts aizdevuma izsniegšana pašvaldību kapitālsabiedrībām</w:t>
            </w:r>
            <w:r w:rsidR="00962BBA">
              <w:rPr>
                <w:rFonts w:ascii="Times New Roman" w:eastAsia="Times New Roman" w:hAnsi="Times New Roman" w:cs="Times New Roman"/>
                <w:sz w:val="24"/>
                <w:szCs w:val="24"/>
              </w:rPr>
              <w:t> </w:t>
            </w:r>
            <w:r w:rsidRPr="00C32CEF">
              <w:rPr>
                <w:rFonts w:ascii="Times New Roman" w:eastAsia="Times New Roman" w:hAnsi="Times New Roman" w:cs="Times New Roman"/>
                <w:sz w:val="24"/>
                <w:szCs w:val="24"/>
              </w:rPr>
              <w:t xml:space="preserve">– aktualizēta kārtība un samazināts iesniedzamo dokumentu klāts valsts aizdevuma saņemšanai, novēršot divu līmeņu (valsts un pašvaldības) funkciju dublēšanos vērtējot gan aizņēmēju, gan </w:t>
            </w:r>
            <w:r w:rsidRPr="00C32CEF">
              <w:rPr>
                <w:rFonts w:ascii="Times New Roman" w:eastAsia="Times New Roman" w:hAnsi="Times New Roman" w:cs="Times New Roman"/>
                <w:sz w:val="24"/>
                <w:szCs w:val="24"/>
              </w:rPr>
              <w:lastRenderedPageBreak/>
              <w:t>īstenojamā projekta lietderību un nozīmību reģiona attīstīb</w:t>
            </w:r>
            <w:r w:rsidR="00C03C3F" w:rsidRPr="00C32CEF">
              <w:rPr>
                <w:rFonts w:ascii="Times New Roman" w:eastAsia="Times New Roman" w:hAnsi="Times New Roman" w:cs="Times New Roman"/>
                <w:sz w:val="24"/>
                <w:szCs w:val="24"/>
              </w:rPr>
              <w:t>ā, kā arī mazinot administratīvo slogu.</w:t>
            </w:r>
            <w:r w:rsidRPr="00C32CEF">
              <w:rPr>
                <w:rFonts w:ascii="Times New Roman" w:eastAsia="Times New Roman" w:hAnsi="Times New Roman" w:cs="Times New Roman"/>
                <w:sz w:val="24"/>
                <w:szCs w:val="24"/>
              </w:rPr>
              <w:t xml:space="preserve"> </w:t>
            </w:r>
          </w:p>
          <w:p w14:paraId="599A8BF1" w14:textId="2E1BAEC5" w:rsidR="003E5C57" w:rsidRPr="00C32CEF" w:rsidRDefault="00204DF3" w:rsidP="003E5C57">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Atbilstoši normatīvajiem aktiem pašvaldībai pirms galvojuma sniegšanas par pašvaldības kapitālsabiedrības saistībām ir jāizvērtē tās finansiālā stabilitāte un projekta lietderība. Līdz ar to valsts aizdevuma sniegšanas gadījumā nav lietderīgi atkārtoti vērtēt pašvaldību kapitālsabiedrības finansiālo stabilitāti, turklāt vēl ja pašvaldība galvo par kapitālsabiedrības saistībām. Tādējādi izmaiņas ļaus operatīvāk izvērtēt valsts aizdevuma piešķiršanas iespējas</w:t>
            </w:r>
            <w:r w:rsidR="00962BBA">
              <w:rPr>
                <w:rFonts w:ascii="Times New Roman" w:eastAsia="Times New Roman" w:hAnsi="Times New Roman" w:cs="Times New Roman"/>
                <w:sz w:val="24"/>
                <w:szCs w:val="24"/>
              </w:rPr>
              <w:t>,</w:t>
            </w:r>
            <w:r w:rsidRPr="00C32CEF">
              <w:rPr>
                <w:rFonts w:ascii="Times New Roman" w:eastAsia="Times New Roman" w:hAnsi="Times New Roman" w:cs="Times New Roman"/>
                <w:sz w:val="24"/>
                <w:szCs w:val="24"/>
              </w:rPr>
              <w:t xml:space="preserve"> un</w:t>
            </w:r>
            <w:r w:rsidR="005B4C38" w:rsidRPr="00C32CEF">
              <w:rPr>
                <w:rFonts w:ascii="Times New Roman" w:eastAsia="Times New Roman" w:hAnsi="Times New Roman" w:cs="Times New Roman"/>
                <w:sz w:val="24"/>
                <w:szCs w:val="24"/>
              </w:rPr>
              <w:t xml:space="preserve"> īsākā termiņā</w:t>
            </w:r>
            <w:r w:rsidRPr="00C32CEF">
              <w:rPr>
                <w:rFonts w:ascii="Times New Roman" w:eastAsia="Times New Roman" w:hAnsi="Times New Roman" w:cs="Times New Roman"/>
                <w:sz w:val="24"/>
                <w:szCs w:val="24"/>
              </w:rPr>
              <w:t xml:space="preserve"> nodrošināt finanšu līdzekļu pieejamību valsts aizdevuma veidā projektu īstenošanai.</w:t>
            </w:r>
          </w:p>
          <w:p w14:paraId="019EA37E" w14:textId="728D03E7" w:rsidR="00C00D0B" w:rsidRPr="00C32CEF" w:rsidRDefault="003E5C57" w:rsidP="00794304">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Ņemot vēr</w:t>
            </w:r>
            <w:r w:rsidR="00015D6B" w:rsidRPr="00C32CEF">
              <w:rPr>
                <w:rFonts w:ascii="Times New Roman" w:eastAsia="Times New Roman" w:hAnsi="Times New Roman" w:cs="Times New Roman"/>
                <w:sz w:val="24"/>
                <w:szCs w:val="24"/>
              </w:rPr>
              <w:t>ā, ka valsts aizdevuma nod</w:t>
            </w:r>
            <w:r w:rsidRPr="00C32CEF">
              <w:rPr>
                <w:rFonts w:ascii="Times New Roman" w:eastAsia="Times New Roman" w:hAnsi="Times New Roman" w:cs="Times New Roman"/>
                <w:sz w:val="24"/>
                <w:szCs w:val="24"/>
              </w:rPr>
              <w:t>rošinājums mēdz būt nelikvīds un pastāv risks par tā faktisk</w:t>
            </w:r>
            <w:r w:rsidR="00015D6B" w:rsidRPr="00C32CEF">
              <w:rPr>
                <w:rFonts w:ascii="Times New Roman" w:eastAsia="Times New Roman" w:hAnsi="Times New Roman" w:cs="Times New Roman"/>
                <w:sz w:val="24"/>
                <w:szCs w:val="24"/>
              </w:rPr>
              <w:t>ās realizācijas iespējām,</w:t>
            </w:r>
            <w:r w:rsidRPr="00C32CEF">
              <w:rPr>
                <w:rFonts w:ascii="Times New Roman" w:eastAsia="Times New Roman" w:hAnsi="Times New Roman" w:cs="Times New Roman"/>
                <w:sz w:val="24"/>
                <w:szCs w:val="24"/>
              </w:rPr>
              <w:t xml:space="preserve"> </w:t>
            </w:r>
            <w:r w:rsidR="00C00D0B" w:rsidRPr="00C32CEF">
              <w:rPr>
                <w:rFonts w:ascii="Times New Roman" w:eastAsia="Times New Roman" w:hAnsi="Times New Roman" w:cs="Times New Roman"/>
                <w:sz w:val="24"/>
                <w:szCs w:val="24"/>
              </w:rPr>
              <w:t xml:space="preserve">turpmāk kā </w:t>
            </w:r>
            <w:r w:rsidRPr="00C32CEF">
              <w:rPr>
                <w:rFonts w:ascii="Times New Roman" w:eastAsia="Times New Roman" w:hAnsi="Times New Roman" w:cs="Times New Roman"/>
                <w:sz w:val="24"/>
                <w:szCs w:val="24"/>
              </w:rPr>
              <w:t>valsts aizdevum</w:t>
            </w:r>
            <w:r w:rsidR="00015D6B" w:rsidRPr="00C32CEF">
              <w:rPr>
                <w:rFonts w:ascii="Times New Roman" w:eastAsia="Times New Roman" w:hAnsi="Times New Roman" w:cs="Times New Roman"/>
                <w:sz w:val="24"/>
                <w:szCs w:val="24"/>
              </w:rPr>
              <w:t>a</w:t>
            </w:r>
            <w:r w:rsidRPr="00C32CEF">
              <w:rPr>
                <w:rFonts w:ascii="Times New Roman" w:eastAsia="Times New Roman" w:hAnsi="Times New Roman" w:cs="Times New Roman"/>
                <w:sz w:val="24"/>
                <w:szCs w:val="24"/>
              </w:rPr>
              <w:t xml:space="preserve"> nodrošin</w:t>
            </w:r>
            <w:r w:rsidR="00015D6B" w:rsidRPr="00C32CEF">
              <w:rPr>
                <w:rFonts w:ascii="Times New Roman" w:eastAsia="Times New Roman" w:hAnsi="Times New Roman" w:cs="Times New Roman"/>
                <w:sz w:val="24"/>
                <w:szCs w:val="24"/>
              </w:rPr>
              <w:t>ājums</w:t>
            </w:r>
            <w:r w:rsidRPr="00C32CEF">
              <w:rPr>
                <w:rFonts w:ascii="Times New Roman" w:eastAsia="Times New Roman" w:hAnsi="Times New Roman" w:cs="Times New Roman"/>
                <w:sz w:val="24"/>
                <w:szCs w:val="24"/>
              </w:rPr>
              <w:t xml:space="preserve"> </w:t>
            </w:r>
            <w:r w:rsidR="00015D6B" w:rsidRPr="00C32CEF">
              <w:rPr>
                <w:rFonts w:ascii="Times New Roman" w:eastAsia="Times New Roman" w:hAnsi="Times New Roman" w:cs="Times New Roman"/>
                <w:sz w:val="24"/>
                <w:szCs w:val="24"/>
              </w:rPr>
              <w:t xml:space="preserve">pašvaldību kapitālsabiedrībām </w:t>
            </w:r>
            <w:r w:rsidR="00E22F0B" w:rsidRPr="00C32CEF">
              <w:rPr>
                <w:rFonts w:ascii="Times New Roman" w:eastAsia="Times New Roman" w:hAnsi="Times New Roman" w:cs="Times New Roman"/>
                <w:sz w:val="24"/>
                <w:szCs w:val="24"/>
              </w:rPr>
              <w:t xml:space="preserve">tiks piemērots </w:t>
            </w:r>
            <w:r w:rsidR="00C00D0B" w:rsidRPr="00C32CEF">
              <w:rPr>
                <w:rFonts w:ascii="Times New Roman" w:eastAsia="Times New Roman" w:hAnsi="Times New Roman" w:cs="Times New Roman"/>
                <w:sz w:val="24"/>
                <w:szCs w:val="24"/>
              </w:rPr>
              <w:t xml:space="preserve">tikai un vienīgi </w:t>
            </w:r>
            <w:r w:rsidR="00E22F0B" w:rsidRPr="00C32CEF">
              <w:rPr>
                <w:rFonts w:ascii="Times New Roman" w:eastAsia="Times New Roman" w:hAnsi="Times New Roman" w:cs="Times New Roman"/>
                <w:sz w:val="24"/>
                <w:szCs w:val="24"/>
              </w:rPr>
              <w:t xml:space="preserve">pašvaldības galvojums </w:t>
            </w:r>
            <w:r w:rsidRPr="00C32CEF">
              <w:rPr>
                <w:rFonts w:ascii="Times New Roman" w:eastAsia="Times New Roman" w:hAnsi="Times New Roman" w:cs="Times New Roman"/>
                <w:sz w:val="24"/>
                <w:szCs w:val="24"/>
              </w:rPr>
              <w:t xml:space="preserve">100% apmērā </w:t>
            </w:r>
            <w:r w:rsidR="00E22F0B" w:rsidRPr="00C32CEF">
              <w:rPr>
                <w:rFonts w:ascii="Times New Roman" w:eastAsia="Times New Roman" w:hAnsi="Times New Roman" w:cs="Times New Roman"/>
                <w:sz w:val="24"/>
                <w:szCs w:val="24"/>
              </w:rPr>
              <w:t>no valsts aizdevuma summas</w:t>
            </w:r>
            <w:r w:rsidR="00C00D0B" w:rsidRPr="00C32CEF">
              <w:rPr>
                <w:rFonts w:ascii="Times New Roman" w:eastAsia="Times New Roman" w:hAnsi="Times New Roman" w:cs="Times New Roman"/>
                <w:sz w:val="24"/>
                <w:szCs w:val="24"/>
              </w:rPr>
              <w:t>, kas  attiecīgi ļauj izvairīties no riskantu valsts aizdevumu izsniegšanas un valsts aizdevumu kredītportfelī turpmāk tiktu iekļautas tikai saistības ar atmaksas iespējamību 100%.</w:t>
            </w:r>
            <w:r w:rsidR="006F0796" w:rsidRPr="00C32CEF">
              <w:rPr>
                <w:rFonts w:ascii="Times New Roman" w:eastAsia="Times New Roman" w:hAnsi="Times New Roman" w:cs="Times New Roman"/>
                <w:sz w:val="24"/>
                <w:szCs w:val="24"/>
              </w:rPr>
              <w:t xml:space="preserve"> </w:t>
            </w:r>
            <w:r w:rsidR="00AA5956" w:rsidRPr="009925B9">
              <w:rPr>
                <w:rFonts w:ascii="Times New Roman" w:eastAsia="Times New Roman" w:hAnsi="Times New Roman" w:cs="Times New Roman"/>
                <w:sz w:val="24"/>
                <w:szCs w:val="24"/>
              </w:rPr>
              <w:t>Turklāt š</w:t>
            </w:r>
            <w:r w:rsidR="006F0796" w:rsidRPr="009925B9">
              <w:rPr>
                <w:rFonts w:ascii="Times New Roman" w:eastAsia="Times New Roman" w:hAnsi="Times New Roman" w:cs="Times New Roman"/>
                <w:sz w:val="24"/>
                <w:szCs w:val="24"/>
              </w:rPr>
              <w:t xml:space="preserve">ādā veidā tiktu </w:t>
            </w:r>
            <w:r w:rsidR="00AA5956" w:rsidRPr="009925B9">
              <w:rPr>
                <w:rFonts w:ascii="Times New Roman" w:eastAsia="Times New Roman" w:hAnsi="Times New Roman" w:cs="Times New Roman"/>
                <w:sz w:val="24"/>
                <w:szCs w:val="24"/>
              </w:rPr>
              <w:t>veicināta</w:t>
            </w:r>
            <w:r w:rsidR="006F0796" w:rsidRPr="009925B9">
              <w:rPr>
                <w:rFonts w:ascii="Times New Roman" w:eastAsia="Times New Roman" w:hAnsi="Times New Roman" w:cs="Times New Roman"/>
                <w:sz w:val="24"/>
                <w:szCs w:val="24"/>
              </w:rPr>
              <w:t xml:space="preserve"> pašvaldības atbildības uzņemšanās par kapitālsabiedrības finansiālo stabilitāti.</w:t>
            </w:r>
          </w:p>
          <w:p w14:paraId="19C72E8D" w14:textId="68A0A100" w:rsidR="003E5C57" w:rsidRPr="00C32CEF" w:rsidRDefault="003E5C57" w:rsidP="00F56C1A">
            <w:pPr>
              <w:keepNext/>
              <w:spacing w:after="0" w:line="240" w:lineRule="auto"/>
              <w:jc w:val="both"/>
              <w:outlineLvl w:val="0"/>
              <w:rPr>
                <w:rFonts w:ascii="Times New Roman" w:eastAsia="Times New Roman" w:hAnsi="Times New Roman" w:cs="Times New Roman"/>
                <w:sz w:val="24"/>
                <w:szCs w:val="24"/>
              </w:rPr>
            </w:pPr>
          </w:p>
          <w:p w14:paraId="42E7CABC" w14:textId="169ADD03" w:rsidR="00CD0A13" w:rsidRPr="00C32CEF" w:rsidRDefault="00CD0A13" w:rsidP="00CD0A13">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Noteikumu projekta V</w:t>
            </w:r>
            <w:r w:rsidR="006B3826" w:rsidRPr="00C32CEF">
              <w:rPr>
                <w:rFonts w:ascii="Times New Roman" w:eastAsia="Times New Roman" w:hAnsi="Times New Roman" w:cs="Times New Roman"/>
                <w:sz w:val="24"/>
                <w:szCs w:val="24"/>
              </w:rPr>
              <w:t>II</w:t>
            </w:r>
            <w:r w:rsidRPr="00C32CEF">
              <w:rPr>
                <w:rFonts w:ascii="Times New Roman" w:eastAsia="Times New Roman" w:hAnsi="Times New Roman" w:cs="Times New Roman"/>
                <w:sz w:val="24"/>
                <w:szCs w:val="24"/>
              </w:rPr>
              <w:t> nodaļā –  valsts aizdevuma izsniegšana valsts kapitālsabiedrībām, ostu pārvaldēm un zinātniskajām institūcijām – aktualizēta kārtība un iesniedzamie dokumenti valsts kapitālsabiedrībām, ostu pārvaldēm, zinātniskajām institūcijām valsts aizdevuma saņemšanai:</w:t>
            </w:r>
          </w:p>
          <w:p w14:paraId="51596224" w14:textId="1B0B3E33"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projektā norādīta detalizēt</w:t>
            </w:r>
            <w:r w:rsidR="00E12C0F" w:rsidRPr="00C32CEF">
              <w:rPr>
                <w:rFonts w:ascii="Times New Roman" w:eastAsia="Times New Roman" w:hAnsi="Times New Roman" w:cs="Times New Roman"/>
                <w:sz w:val="24"/>
                <w:szCs w:val="24"/>
              </w:rPr>
              <w:t xml:space="preserve">āka </w:t>
            </w:r>
            <w:r w:rsidR="0071457E">
              <w:rPr>
                <w:rFonts w:ascii="Times New Roman" w:eastAsia="Times New Roman" w:hAnsi="Times New Roman" w:cs="Times New Roman"/>
                <w:sz w:val="24"/>
                <w:szCs w:val="24"/>
              </w:rPr>
              <w:t xml:space="preserve">aizdevuma </w:t>
            </w:r>
            <w:r w:rsidR="00E12C0F" w:rsidRPr="00C32CEF">
              <w:rPr>
                <w:rFonts w:ascii="Times New Roman" w:eastAsia="Times New Roman" w:hAnsi="Times New Roman" w:cs="Times New Roman"/>
                <w:sz w:val="24"/>
                <w:szCs w:val="24"/>
              </w:rPr>
              <w:t>pretendenta iesniedzamā</w:t>
            </w:r>
            <w:r w:rsidRPr="00C32CEF">
              <w:rPr>
                <w:rFonts w:ascii="Times New Roman" w:eastAsia="Times New Roman" w:hAnsi="Times New Roman" w:cs="Times New Roman"/>
                <w:sz w:val="24"/>
                <w:szCs w:val="24"/>
              </w:rPr>
              <w:t xml:space="preserve"> informācija par biznesa plānā ietveramās informācijas saturu, lai varētu iegūt precīzāku informāciju par atsevišķām biznesa riska vērtēšanas sadaļām;</w:t>
            </w:r>
          </w:p>
          <w:p w14:paraId="2205101A" w14:textId="4FEFBE16"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esošais regulējums Noteikumos nosaka, ka finanšu ministram ir tiesības atteikt valsts aizdevuma piešķiršanu gadījumā, ja netiek sniegts pietiekams valsts aizdevuma nodrošinājums, taču Noteikumos nav noteikts, kādā apmērā ir jābūt nodrošinājumam, lai to varētu uzskatīt par pietiekamu. </w:t>
            </w:r>
            <w:r w:rsidR="00444D6E" w:rsidRPr="00C32CEF">
              <w:rPr>
                <w:rFonts w:ascii="Times New Roman" w:eastAsia="Times New Roman" w:hAnsi="Times New Roman" w:cs="Times New Roman"/>
                <w:sz w:val="24"/>
                <w:szCs w:val="24"/>
              </w:rPr>
              <w:t>P</w:t>
            </w:r>
            <w:r w:rsidRPr="00C32CEF">
              <w:rPr>
                <w:rFonts w:ascii="Times New Roman" w:eastAsia="Times New Roman" w:hAnsi="Times New Roman" w:cs="Times New Roman"/>
                <w:sz w:val="24"/>
                <w:szCs w:val="24"/>
              </w:rPr>
              <w:t>rojektā ir iekļauta nodrošinājuma pietiekamības noteikšanas kārtība valsts aizdevumu izsniegšanas procesā</w:t>
            </w:r>
            <w:r w:rsidR="00E12C0F" w:rsidRPr="00C32CEF">
              <w:rPr>
                <w:rFonts w:ascii="Times New Roman" w:eastAsia="Times New Roman" w:hAnsi="Times New Roman" w:cs="Times New Roman"/>
                <w:sz w:val="24"/>
                <w:szCs w:val="24"/>
              </w:rPr>
              <w:t xml:space="preserve">, tādējādi tiek </w:t>
            </w:r>
            <w:r w:rsidR="00E10CFD" w:rsidRPr="00C32CEF">
              <w:rPr>
                <w:rFonts w:ascii="Times New Roman" w:eastAsia="Times New Roman" w:hAnsi="Times New Roman" w:cs="Times New Roman"/>
                <w:sz w:val="24"/>
                <w:szCs w:val="24"/>
              </w:rPr>
              <w:t xml:space="preserve">nodrošināta </w:t>
            </w:r>
            <w:r w:rsidR="00E10CFD" w:rsidRPr="00C32CEF">
              <w:rPr>
                <w:rFonts w:ascii="Times New Roman" w:eastAsia="Times New Roman" w:hAnsi="Times New Roman" w:cs="Times New Roman"/>
                <w:sz w:val="24"/>
                <w:szCs w:val="24"/>
              </w:rPr>
              <w:lastRenderedPageBreak/>
              <w:t>piemērojamās tiesību normas noteiktība un skaidrība;</w:t>
            </w:r>
          </w:p>
          <w:p w14:paraId="37478C23" w14:textId="3B5C20D1"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ir noteikti atviegloti nosacījumi gadījumā, kad kā ķīlu aizdevuma pretendents piedāvā aktīvu kopumu (visu, kas ir tā īpašumā un ko tas ir tiesīgs ieķīlāt).</w:t>
            </w:r>
          </w:p>
          <w:p w14:paraId="1716144D" w14:textId="1A021A02" w:rsidR="00C256AE" w:rsidRPr="00C32CEF" w:rsidRDefault="00C256AE" w:rsidP="00C256AE">
            <w:pPr>
              <w:spacing w:after="0" w:line="240" w:lineRule="auto"/>
              <w:ind w:left="58"/>
              <w:jc w:val="both"/>
              <w:rPr>
                <w:rFonts w:ascii="Times New Roman" w:eastAsia="Times New Roman" w:hAnsi="Times New Roman" w:cs="Times New Roman"/>
                <w:sz w:val="24"/>
                <w:szCs w:val="24"/>
              </w:rPr>
            </w:pPr>
          </w:p>
          <w:p w14:paraId="0A4F0074" w14:textId="261931B9" w:rsidR="006B3826" w:rsidRPr="00C32CEF" w:rsidRDefault="00C256AE" w:rsidP="00FD7482">
            <w:pPr>
              <w:spacing w:after="0" w:line="240" w:lineRule="auto"/>
              <w:ind w:left="60"/>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Noteikumu projekta VIII nodaļā – valsts aizdevuma procentu, valsts aizdevuma riska procentu likmes un apkalpošanas maksas noteikšanas un maiņas kārtība – precizēts ierobežojums valsts aizdevuma likmes maiņas intervālam – aizdevuma likme turpmāk varēs tikt mainīta tikai vienu reizi </w:t>
            </w:r>
            <w:r w:rsidR="00463FCB">
              <w:rPr>
                <w:rFonts w:ascii="Times New Roman" w:eastAsia="Times New Roman" w:hAnsi="Times New Roman" w:cs="Times New Roman"/>
                <w:sz w:val="24"/>
                <w:szCs w:val="24"/>
              </w:rPr>
              <w:t xml:space="preserve">piecos gados </w:t>
            </w:r>
            <w:r w:rsidRPr="00C32CEF">
              <w:rPr>
                <w:rFonts w:ascii="Times New Roman" w:eastAsia="Times New Roman" w:hAnsi="Times New Roman" w:cs="Times New Roman"/>
                <w:sz w:val="24"/>
                <w:szCs w:val="24"/>
              </w:rPr>
              <w:t xml:space="preserve"> līguma darbības laikā, ņemot vērā, ka jebkura aizdevuma pārfinansēšana (uz lētākiem finanšu resursiem) var radīt papildus izmaksas valsts budžetam, ņemot vērā, ka valsts aizdevumu resursu cena ir cieši saistīta ar valsts parāda izmaksām. Tas veicinās arī atbildīgāku lēmumu pieņemšanu aizdevuma procentu likmes izvēles brīdī. </w:t>
            </w:r>
          </w:p>
          <w:p w14:paraId="7E652617" w14:textId="2C0B3697" w:rsidR="0011201F" w:rsidRPr="00CA770B" w:rsidRDefault="00C256AE" w:rsidP="00CA770B">
            <w:pPr>
              <w:spacing w:after="0" w:line="240" w:lineRule="auto"/>
              <w:jc w:val="both"/>
              <w:rPr>
                <w:rFonts w:ascii="Times New Roman" w:eastAsia="Times New Roman" w:hAnsi="Times New Roman" w:cs="Times New Roman"/>
                <w:sz w:val="24"/>
                <w:szCs w:val="24"/>
              </w:rPr>
            </w:pPr>
            <w:r w:rsidRPr="009925B9">
              <w:rPr>
                <w:rFonts w:ascii="Times New Roman" w:eastAsia="Times New Roman" w:hAnsi="Times New Roman" w:cs="Times New Roman"/>
                <w:sz w:val="24"/>
                <w:szCs w:val="24"/>
              </w:rPr>
              <w:t>Noteikumu projektā noteikti gadījumi un valsts aizdevuma saņēmēju loks, kam netiek piemērota riska procentu likme. Šobrīd esošā riska procentu likmju piemērošanas kārtība nosaka, ka riska procentu likme ir piemērojama arī aizņēmējiem, kuri ir klasificēti vispārējās valdības sektor</w:t>
            </w:r>
            <w:r w:rsidR="00FD7482" w:rsidRPr="009925B9">
              <w:rPr>
                <w:rFonts w:ascii="Times New Roman" w:eastAsia="Times New Roman" w:hAnsi="Times New Roman" w:cs="Times New Roman"/>
                <w:sz w:val="24"/>
                <w:szCs w:val="24"/>
              </w:rPr>
              <w:t>ā</w:t>
            </w:r>
            <w:r w:rsidRPr="009925B9">
              <w:rPr>
                <w:rFonts w:ascii="Times New Roman" w:eastAsia="Times New Roman" w:hAnsi="Times New Roman" w:cs="Times New Roman"/>
                <w:sz w:val="24"/>
                <w:szCs w:val="24"/>
              </w:rPr>
              <w:t xml:space="preserve"> S13</w:t>
            </w:r>
            <w:r w:rsidR="00845008" w:rsidRPr="009925B9">
              <w:rPr>
                <w:rFonts w:ascii="Times New Roman" w:eastAsia="Times New Roman" w:hAnsi="Times New Roman" w:cs="Times New Roman"/>
                <w:sz w:val="24"/>
                <w:szCs w:val="24"/>
              </w:rPr>
              <w:t>.</w:t>
            </w:r>
            <w:r w:rsidRPr="009925B9">
              <w:rPr>
                <w:rFonts w:ascii="Times New Roman" w:eastAsia="Times New Roman" w:hAnsi="Times New Roman" w:cs="Times New Roman"/>
                <w:sz w:val="24"/>
                <w:szCs w:val="24"/>
              </w:rPr>
              <w:t xml:space="preserve"> </w:t>
            </w:r>
            <w:r w:rsidR="00962BBA">
              <w:rPr>
                <w:rFonts w:ascii="Times New Roman" w:eastAsia="Times New Roman" w:hAnsi="Times New Roman" w:cs="Times New Roman"/>
                <w:sz w:val="24"/>
                <w:szCs w:val="24"/>
              </w:rPr>
              <w:t xml:space="preserve">Noteikumu projektā </w:t>
            </w:r>
            <w:r w:rsidR="009E7968" w:rsidRPr="009925B9">
              <w:rPr>
                <w:rFonts w:ascii="Times New Roman" w:eastAsia="Times New Roman" w:hAnsi="Times New Roman" w:cs="Times New Roman"/>
                <w:sz w:val="24"/>
                <w:szCs w:val="24"/>
              </w:rPr>
              <w:t>paredzētais nosacījums, ka riska procentu likmi nepiemēro aizņēmējiem, kuri ir klasificēti vispārējās valdības sektorā, pamatojams ar to, ka gadījumos, kad valsts aizdevuma saņēmēja saistības tiek segtas, saņemot valsts budžeta dotāciju, finanšu līdzekļi tiek novirzīti no valsts budžeta un tad saņemti atpakaļ. Riska likmes nepiemērošana vispārējā valdības sektorā klasificētajiem uzņēmumiem samazinātu dotācijas apmēru, kas tiktu paredzēta valsts aizdevuma atmaksai.</w:t>
            </w:r>
            <w:r w:rsidR="00962BBA">
              <w:rPr>
                <w:rFonts w:ascii="Times New Roman" w:eastAsia="Times New Roman" w:hAnsi="Times New Roman" w:cs="Times New Roman"/>
                <w:sz w:val="24"/>
                <w:szCs w:val="24"/>
              </w:rPr>
              <w:t xml:space="preserve"> </w:t>
            </w:r>
            <w:r w:rsidR="00FD7482" w:rsidRPr="009925B9">
              <w:rPr>
                <w:rFonts w:ascii="Times New Roman" w:eastAsia="Times New Roman" w:hAnsi="Times New Roman" w:cs="Times New Roman"/>
                <w:sz w:val="24"/>
                <w:szCs w:val="24"/>
              </w:rPr>
              <w:t>Tāpat jāņem vērā arī valsts aizdevumu sniegšanas mērķis</w:t>
            </w:r>
            <w:r w:rsidR="008F2018" w:rsidRPr="009925B9">
              <w:rPr>
                <w:rFonts w:ascii="Times New Roman" w:eastAsia="Times New Roman" w:hAnsi="Times New Roman" w:cs="Times New Roman"/>
                <w:sz w:val="24"/>
                <w:szCs w:val="24"/>
              </w:rPr>
              <w:t xml:space="preserve"> </w:t>
            </w:r>
            <w:r w:rsidR="008F2018" w:rsidRPr="00C32CEF">
              <w:rPr>
                <w:rFonts w:ascii="Times New Roman" w:eastAsia="Times New Roman" w:hAnsi="Times New Roman" w:cs="Times New Roman"/>
                <w:sz w:val="24"/>
                <w:szCs w:val="24"/>
              </w:rPr>
              <w:t>–</w:t>
            </w:r>
            <w:r w:rsidR="00FD7482" w:rsidRPr="00C32CEF">
              <w:rPr>
                <w:rFonts w:ascii="Times New Roman" w:eastAsia="Times New Roman" w:hAnsi="Times New Roman" w:cs="Times New Roman"/>
                <w:sz w:val="24"/>
                <w:szCs w:val="24"/>
              </w:rPr>
              <w:t xml:space="preserve"> </w:t>
            </w:r>
            <w:r w:rsidR="00FD7482" w:rsidRPr="009925B9">
              <w:rPr>
                <w:rFonts w:ascii="Times New Roman" w:eastAsia="Times New Roman" w:hAnsi="Times New Roman" w:cs="Times New Roman"/>
                <w:sz w:val="24"/>
                <w:szCs w:val="24"/>
              </w:rPr>
              <w:t xml:space="preserve">finansējuma nodrošināšana valstiski svarīgu investīciju projektu īstenošanai, valsts un pašvaldību funkciju nodrošināšanai. </w:t>
            </w:r>
            <w:r w:rsidR="0011201F" w:rsidRPr="00CA770B">
              <w:rPr>
                <w:rFonts w:ascii="Times New Roman" w:eastAsia="Times New Roman" w:hAnsi="Times New Roman" w:cs="Times New Roman"/>
                <w:sz w:val="24"/>
                <w:szCs w:val="24"/>
              </w:rPr>
              <w:t>Riska likmes nepiemērošana samazinātu aizdevumu apkalpošanas izmaksas projektiem, kas veicina valsts un pašvaldību interešu nodrošināšanu un funkciju veikšanu.</w:t>
            </w:r>
          </w:p>
          <w:p w14:paraId="0BC8D684" w14:textId="77777777" w:rsidR="008F2018" w:rsidRPr="00CA770B" w:rsidRDefault="008F2018" w:rsidP="00D83F33">
            <w:pPr>
              <w:spacing w:after="0" w:line="240" w:lineRule="auto"/>
              <w:ind w:left="60"/>
              <w:jc w:val="both"/>
              <w:rPr>
                <w:rFonts w:ascii="Times New Roman" w:eastAsia="Times New Roman" w:hAnsi="Times New Roman" w:cs="Times New Roman"/>
                <w:sz w:val="24"/>
                <w:szCs w:val="24"/>
              </w:rPr>
            </w:pPr>
          </w:p>
          <w:p w14:paraId="3F30C80F" w14:textId="279D9719" w:rsidR="00D83F33" w:rsidRDefault="00705867" w:rsidP="00F33058">
            <w:pPr>
              <w:spacing w:after="0" w:line="240" w:lineRule="auto"/>
              <w:jc w:val="both"/>
              <w:rPr>
                <w:rFonts w:ascii="Times New Roman" w:eastAsia="Times New Roman" w:hAnsi="Times New Roman" w:cs="Times New Roman"/>
                <w:sz w:val="24"/>
                <w:szCs w:val="24"/>
              </w:rPr>
            </w:pPr>
            <w:r w:rsidRPr="00CA770B">
              <w:rPr>
                <w:rFonts w:ascii="Times New Roman" w:eastAsia="Times New Roman" w:hAnsi="Times New Roman" w:cs="Times New Roman"/>
                <w:sz w:val="24"/>
                <w:szCs w:val="24"/>
              </w:rPr>
              <w:t>Noteikumu projekta IX</w:t>
            </w:r>
            <w:r w:rsidR="00D83F33" w:rsidRPr="00CA770B">
              <w:rPr>
                <w:rFonts w:ascii="Times New Roman" w:eastAsia="Times New Roman" w:hAnsi="Times New Roman" w:cs="Times New Roman"/>
                <w:sz w:val="24"/>
                <w:szCs w:val="24"/>
              </w:rPr>
              <w:t xml:space="preserve"> nodaļā – </w:t>
            </w:r>
            <w:r w:rsidR="00EE1877" w:rsidRPr="00CA770B">
              <w:rPr>
                <w:rFonts w:ascii="Times New Roman" w:eastAsia="Times New Roman" w:hAnsi="Times New Roman" w:cs="Times New Roman"/>
                <w:sz w:val="24"/>
                <w:szCs w:val="24"/>
              </w:rPr>
              <w:t>v</w:t>
            </w:r>
            <w:r w:rsidR="00D83F33" w:rsidRPr="00CA770B">
              <w:rPr>
                <w:rFonts w:ascii="Times New Roman" w:eastAsia="Times New Roman" w:hAnsi="Times New Roman" w:cs="Times New Roman"/>
                <w:sz w:val="24"/>
                <w:szCs w:val="24"/>
              </w:rPr>
              <w:t>alsts aizdevumu apkalpošana</w:t>
            </w:r>
            <w:r w:rsidR="00962BBA">
              <w:rPr>
                <w:rFonts w:ascii="Times New Roman" w:eastAsia="Times New Roman" w:hAnsi="Times New Roman" w:cs="Times New Roman"/>
                <w:sz w:val="24"/>
                <w:szCs w:val="24"/>
              </w:rPr>
              <w:t> – </w:t>
            </w:r>
            <w:r w:rsidR="00D83F33" w:rsidRPr="00CA770B">
              <w:rPr>
                <w:rFonts w:ascii="Times New Roman" w:eastAsia="Times New Roman" w:hAnsi="Times New Roman" w:cs="Times New Roman"/>
                <w:sz w:val="24"/>
                <w:szCs w:val="24"/>
              </w:rPr>
              <w:t>saglabāta līdzšinējā atskaišu sniegšanas un administrēšanas kārtība.</w:t>
            </w:r>
          </w:p>
          <w:p w14:paraId="5F660423" w14:textId="77777777" w:rsidR="00CA770B" w:rsidRPr="00CA770B" w:rsidRDefault="00CA770B" w:rsidP="00CA770B">
            <w:pPr>
              <w:spacing w:after="0" w:line="240" w:lineRule="auto"/>
              <w:ind w:left="60"/>
              <w:jc w:val="both"/>
              <w:rPr>
                <w:rFonts w:ascii="Times New Roman" w:eastAsia="Times New Roman" w:hAnsi="Times New Roman" w:cs="Times New Roman"/>
                <w:sz w:val="24"/>
                <w:szCs w:val="24"/>
              </w:rPr>
            </w:pPr>
          </w:p>
          <w:p w14:paraId="7047E4B1" w14:textId="679583F9" w:rsidR="00C256AE" w:rsidRPr="00C32CEF" w:rsidRDefault="00CA770B" w:rsidP="00F33058">
            <w:pPr>
              <w:spacing w:line="240" w:lineRule="auto"/>
              <w:jc w:val="both"/>
              <w:rPr>
                <w:rFonts w:eastAsia="Times New Roman" w:cs="Times New Roman"/>
                <w:szCs w:val="24"/>
              </w:rPr>
            </w:pPr>
            <w:r w:rsidRPr="00CA770B">
              <w:rPr>
                <w:rFonts w:ascii="Times New Roman" w:hAnsi="Times New Roman" w:cs="Times New Roman"/>
                <w:sz w:val="24"/>
                <w:szCs w:val="24"/>
              </w:rPr>
              <w:lastRenderedPageBreak/>
              <w:t>Lai nodrošinātu tiesību normu noteiktību to  piemērošanā līdz spēkā stājas Likuma par budžetu un finanšu vadību 36. panta 5.</w:t>
            </w:r>
            <w:r w:rsidR="00962BBA">
              <w:rPr>
                <w:rFonts w:ascii="Times New Roman" w:hAnsi="Times New Roman" w:cs="Times New Roman"/>
                <w:sz w:val="24"/>
                <w:szCs w:val="24"/>
                <w:vertAlign w:val="superscript"/>
              </w:rPr>
              <w:t> </w:t>
            </w:r>
            <w:r w:rsidRPr="00CA770B">
              <w:rPr>
                <w:rFonts w:ascii="Times New Roman" w:hAnsi="Times New Roman" w:cs="Times New Roman"/>
                <w:sz w:val="24"/>
                <w:szCs w:val="24"/>
                <w:vertAlign w:val="superscript"/>
              </w:rPr>
              <w:t>4</w:t>
            </w:r>
            <w:r w:rsidRPr="00CA770B">
              <w:rPr>
                <w:rFonts w:ascii="Times New Roman" w:hAnsi="Times New Roman" w:cs="Times New Roman"/>
                <w:sz w:val="24"/>
                <w:szCs w:val="24"/>
              </w:rPr>
              <w:t xml:space="preserve"> daļas 3. punkta nosacījumi, to attiecināšanu uz konkrētiem gadījumiem  noteikumu projekts ir papildināts ar 48. un  87. punktu. </w:t>
            </w:r>
          </w:p>
        </w:tc>
      </w:tr>
      <w:tr w:rsidR="00C32CEF" w:rsidRPr="00C32CEF" w14:paraId="7047E4B7" w14:textId="77777777" w:rsidTr="00BC3A62">
        <w:tc>
          <w:tcPr>
            <w:tcW w:w="300" w:type="pct"/>
            <w:tcBorders>
              <w:top w:val="outset" w:sz="6" w:space="0" w:color="414142"/>
              <w:left w:val="outset" w:sz="6" w:space="0" w:color="414142"/>
              <w:bottom w:val="outset" w:sz="6" w:space="0" w:color="414142"/>
              <w:right w:val="outset" w:sz="6" w:space="0" w:color="414142"/>
            </w:tcBorders>
            <w:hideMark/>
          </w:tcPr>
          <w:p w14:paraId="7047E4B3"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047E4B4"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047E4B6" w14:textId="77777777" w:rsidR="00CD3048" w:rsidRPr="00C32CEF" w:rsidRDefault="00CD3048"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Valsts kase</w:t>
            </w:r>
          </w:p>
        </w:tc>
      </w:tr>
      <w:tr w:rsidR="00C32CEF" w:rsidRPr="00C32CEF" w14:paraId="7047E4BC" w14:textId="77777777" w:rsidTr="00BC3A62">
        <w:tc>
          <w:tcPr>
            <w:tcW w:w="300" w:type="pct"/>
            <w:tcBorders>
              <w:top w:val="outset" w:sz="6" w:space="0" w:color="414142"/>
              <w:left w:val="outset" w:sz="6" w:space="0" w:color="414142"/>
              <w:bottom w:val="outset" w:sz="6" w:space="0" w:color="414142"/>
              <w:right w:val="outset" w:sz="6" w:space="0" w:color="414142"/>
            </w:tcBorders>
            <w:hideMark/>
          </w:tcPr>
          <w:p w14:paraId="7047E4B8"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047E4B9"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047E4BB" w14:textId="77777777" w:rsidR="00CD3048" w:rsidRPr="00C32CEF" w:rsidRDefault="00CD3048"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Nav</w:t>
            </w:r>
          </w:p>
        </w:tc>
      </w:tr>
    </w:tbl>
    <w:p w14:paraId="7047E4BD"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4BF"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7E4B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32CEF" w:rsidRPr="00C32CEF" w14:paraId="7047E4C3"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0"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4C1"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047E4C2" w14:textId="4F388D7D" w:rsidR="00874157" w:rsidRPr="00C32CEF" w:rsidRDefault="00874157"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Nozaru ministr</w:t>
            </w:r>
            <w:r w:rsidR="00F33058">
              <w:rPr>
                <w:rFonts w:ascii="Times New Roman" w:eastAsia="Times New Roman" w:hAnsi="Times New Roman" w:cs="Times New Roman"/>
                <w:sz w:val="24"/>
                <w:szCs w:val="24"/>
                <w:lang w:eastAsia="lv-LV"/>
              </w:rPr>
              <w:t>ijas, valsts aizdevumu saņēmēji.</w:t>
            </w:r>
            <w:r w:rsidRPr="00C32CEF">
              <w:rPr>
                <w:rFonts w:ascii="Times New Roman" w:eastAsia="Times New Roman" w:hAnsi="Times New Roman" w:cs="Times New Roman"/>
                <w:sz w:val="24"/>
                <w:szCs w:val="24"/>
                <w:lang w:eastAsia="lv-LV"/>
              </w:rPr>
              <w:t xml:space="preserve"> </w:t>
            </w:r>
          </w:p>
        </w:tc>
      </w:tr>
      <w:tr w:rsidR="00C32CEF" w:rsidRPr="00C32CEF" w14:paraId="7047E4C9"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4"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4C5"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2831D7C" w14:textId="53E12DAB" w:rsidR="008679A3" w:rsidRPr="00C32CEF" w:rsidRDefault="008679A3" w:rsidP="008679A3">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Noteikumu projekts būtiski samazina daļai aizdevuma pretendentu administratīvo slogu (laika izteiksmē), jo paātrinās jautājuma izskatīšanas gaitu, nekavējot investīciju projektu īstenošanu un operatīvāk nodrošinot valsts aizdevuma līdzekļu pieejamību.</w:t>
            </w:r>
          </w:p>
          <w:p w14:paraId="7047E4C8" w14:textId="77777777" w:rsidR="00CD3048" w:rsidRPr="00C32CEF" w:rsidRDefault="00CD3048" w:rsidP="008679A3">
            <w:pPr>
              <w:spacing w:after="0" w:line="240" w:lineRule="auto"/>
              <w:jc w:val="both"/>
              <w:rPr>
                <w:rFonts w:ascii="Times New Roman" w:eastAsia="Times New Roman" w:hAnsi="Times New Roman" w:cs="Times New Roman"/>
                <w:sz w:val="24"/>
                <w:szCs w:val="24"/>
                <w:lang w:eastAsia="lv-LV"/>
              </w:rPr>
            </w:pPr>
          </w:p>
        </w:tc>
      </w:tr>
      <w:tr w:rsidR="00C32CEF" w:rsidRPr="00C32CEF" w14:paraId="7047E4CD"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A"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047E4CB"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47E4CC" w14:textId="76061069" w:rsidR="008F1960" w:rsidRPr="00C32CEF" w:rsidRDefault="00EE1877" w:rsidP="008F19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C32CEF" w:rsidRPr="00C32CEF" w14:paraId="7047E4D1"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047E4CF"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47E4D0" w14:textId="61B07185" w:rsidR="008F1960" w:rsidRPr="00C32CEF" w:rsidRDefault="00EE1877" w:rsidP="008F19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C32CEF" w:rsidRPr="00C32CEF" w14:paraId="7047E4D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D2"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047E4D3"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EE07E16" w14:textId="6F39DFD6" w:rsidR="004923CE" w:rsidRPr="00C32CEF" w:rsidRDefault="004923CE" w:rsidP="008F1960">
            <w:pPr>
              <w:spacing w:after="0" w:line="240" w:lineRule="auto"/>
              <w:rPr>
                <w:rFonts w:ascii="Times New Roman" w:eastAsia="Times New Roman" w:hAnsi="Times New Roman" w:cs="Times New Roman"/>
                <w:sz w:val="24"/>
                <w:szCs w:val="24"/>
                <w:lang w:eastAsia="lv-LV"/>
              </w:rPr>
            </w:pPr>
          </w:p>
          <w:p w14:paraId="7047E4D4" w14:textId="19ECD608" w:rsidR="008F1960" w:rsidRPr="00C32CEF" w:rsidRDefault="004923CE"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Nav. </w:t>
            </w:r>
          </w:p>
        </w:tc>
      </w:tr>
    </w:tbl>
    <w:p w14:paraId="7047E4D6"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32CEF" w:rsidRPr="00C32CEF" w14:paraId="7047E4D8"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047E4D7"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III. Tiesību akta projekta ietekme uz valsts budžetu un pašvaldību budžetiem</w:t>
            </w:r>
          </w:p>
        </w:tc>
      </w:tr>
      <w:tr w:rsidR="00C32CEF" w:rsidRPr="00C32CEF" w14:paraId="7047E4FD" w14:textId="77777777" w:rsidTr="0077609A">
        <w:tc>
          <w:tcPr>
            <w:tcW w:w="5000" w:type="pct"/>
            <w:tcBorders>
              <w:top w:val="outset" w:sz="6" w:space="0" w:color="414142"/>
              <w:left w:val="outset" w:sz="6" w:space="0" w:color="414142"/>
              <w:bottom w:val="outset" w:sz="6" w:space="0" w:color="414142"/>
              <w:right w:val="outset" w:sz="6" w:space="0" w:color="414142"/>
            </w:tcBorders>
            <w:hideMark/>
          </w:tcPr>
          <w:p w14:paraId="7047E4FC" w14:textId="2762A170" w:rsidR="0077609A" w:rsidRPr="00C32CEF" w:rsidRDefault="0077609A" w:rsidP="0077609A">
            <w:pPr>
              <w:spacing w:after="0" w:line="240" w:lineRule="auto"/>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Projekts šo jomu neskar.</w:t>
            </w:r>
          </w:p>
        </w:tc>
      </w:tr>
    </w:tbl>
    <w:p w14:paraId="7047E59D"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32CEF" w:rsidRPr="00C32CEF" w14:paraId="7047E59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047E59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IV. Tiesību akta projekta ietekme uz spēkā esošo tiesību normu sistēmu</w:t>
            </w:r>
          </w:p>
        </w:tc>
      </w:tr>
      <w:tr w:rsidR="00C32CEF" w:rsidRPr="00C32CEF" w14:paraId="7047E5A3" w14:textId="77777777" w:rsidTr="0077609A">
        <w:tc>
          <w:tcPr>
            <w:tcW w:w="5000" w:type="pct"/>
            <w:tcBorders>
              <w:top w:val="outset" w:sz="6" w:space="0" w:color="414142"/>
              <w:left w:val="outset" w:sz="6" w:space="0" w:color="414142"/>
              <w:bottom w:val="outset" w:sz="6" w:space="0" w:color="414142"/>
              <w:right w:val="outset" w:sz="6" w:space="0" w:color="414142"/>
            </w:tcBorders>
          </w:tcPr>
          <w:p w14:paraId="7047E5A2" w14:textId="6F6D0CF5" w:rsidR="0077609A" w:rsidRPr="00C32CEF" w:rsidRDefault="0077609A" w:rsidP="0077609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Projekts šo jomu neskar.</w:t>
            </w:r>
          </w:p>
        </w:tc>
      </w:tr>
    </w:tbl>
    <w:p w14:paraId="7047E5AC"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367"/>
        <w:gridCol w:w="6683"/>
      </w:tblGrid>
      <w:tr w:rsidR="00C32CEF" w:rsidRPr="00C32CEF" w14:paraId="7047E5AE" w14:textId="77777777" w:rsidTr="00565DC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5AD"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sz w:val="24"/>
                <w:szCs w:val="24"/>
                <w:highlight w:val="yellow"/>
                <w:lang w:eastAsia="lv-LV"/>
              </w:rPr>
            </w:pPr>
            <w:r w:rsidRPr="00C32CEF">
              <w:rPr>
                <w:rFonts w:ascii="Times New Roman" w:eastAsia="Times New Roman" w:hAnsi="Times New Roman" w:cs="Times New Roman"/>
                <w:b/>
                <w:sz w:val="24"/>
                <w:szCs w:val="24"/>
                <w:lang w:eastAsia="lv-LV"/>
              </w:rPr>
              <w:t>V. Tiesību akta projekta atbilstība Latvijas Republikas starptautiskajām saistībām</w:t>
            </w:r>
          </w:p>
        </w:tc>
      </w:tr>
      <w:tr w:rsidR="00C32CEF" w:rsidRPr="00C32CEF" w14:paraId="7B76F5C5" w14:textId="4A247838" w:rsidTr="00565DC9">
        <w:tc>
          <w:tcPr>
            <w:tcW w:w="144" w:type="pct"/>
            <w:tcBorders>
              <w:top w:val="outset" w:sz="6" w:space="0" w:color="414142"/>
              <w:left w:val="outset" w:sz="6" w:space="0" w:color="414142"/>
              <w:bottom w:val="outset" w:sz="6" w:space="0" w:color="414142"/>
              <w:right w:val="outset" w:sz="6" w:space="0" w:color="414142"/>
            </w:tcBorders>
          </w:tcPr>
          <w:p w14:paraId="24EEE293" w14:textId="11243C70" w:rsidR="00BA2C7E" w:rsidRPr="00C32CEF" w:rsidRDefault="00BA2C7E" w:rsidP="00BA2C7E">
            <w:pPr>
              <w:spacing w:before="100" w:beforeAutospacing="1" w:after="100" w:afterAutospacing="1" w:line="293" w:lineRule="atLeast"/>
              <w:jc w:val="center"/>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1.</w:t>
            </w:r>
          </w:p>
        </w:tc>
        <w:tc>
          <w:tcPr>
            <w:tcW w:w="814" w:type="pct"/>
            <w:tcBorders>
              <w:top w:val="outset" w:sz="6" w:space="0" w:color="414142"/>
              <w:left w:val="outset" w:sz="6" w:space="0" w:color="414142"/>
              <w:bottom w:val="outset" w:sz="6" w:space="0" w:color="414142"/>
              <w:right w:val="outset" w:sz="6" w:space="0" w:color="414142"/>
            </w:tcBorders>
          </w:tcPr>
          <w:p w14:paraId="7424E923" w14:textId="2239C1F8"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Saistības pret Eiropas Savienību</w:t>
            </w:r>
          </w:p>
        </w:tc>
        <w:tc>
          <w:tcPr>
            <w:tcW w:w="4042" w:type="pct"/>
            <w:tcBorders>
              <w:top w:val="outset" w:sz="6" w:space="0" w:color="414142"/>
              <w:left w:val="outset" w:sz="6" w:space="0" w:color="414142"/>
              <w:bottom w:val="outset" w:sz="6" w:space="0" w:color="414142"/>
              <w:right w:val="outset" w:sz="6" w:space="0" w:color="414142"/>
            </w:tcBorders>
          </w:tcPr>
          <w:p w14:paraId="4710DA07" w14:textId="6A5F7EEF" w:rsidR="00BA2C7E" w:rsidRPr="00C32CEF" w:rsidRDefault="0093743E" w:rsidP="00EC5CD5">
            <w:pPr>
              <w:spacing w:before="100" w:beforeAutospacing="1" w:after="100" w:afterAutospacing="1" w:line="293" w:lineRule="atLeast"/>
              <w:jc w:val="both"/>
              <w:rPr>
                <w:rFonts w:ascii="Times New Roman" w:eastAsia="Times New Roman" w:hAnsi="Times New Roman" w:cs="Times New Roman"/>
                <w:b/>
                <w:bCs/>
                <w:sz w:val="24"/>
                <w:szCs w:val="24"/>
                <w:highlight w:val="yellow"/>
                <w:lang w:eastAsia="lv-LV"/>
              </w:rPr>
            </w:pPr>
            <w:r>
              <w:rPr>
                <w:rFonts w:ascii="Times New Roman" w:hAnsi="Times New Roman"/>
                <w:sz w:val="24"/>
                <w:szCs w:val="24"/>
              </w:rPr>
              <w:t xml:space="preserve"> </w:t>
            </w:r>
            <w:r w:rsidRPr="00C32CEF">
              <w:rPr>
                <w:rFonts w:ascii="Times New Roman" w:hAnsi="Times New Roman"/>
                <w:sz w:val="24"/>
                <w:szCs w:val="24"/>
              </w:rPr>
              <w:t>Projekts šo jomu neskar.</w:t>
            </w:r>
          </w:p>
        </w:tc>
      </w:tr>
      <w:tr w:rsidR="00C32CEF" w:rsidRPr="00C32CEF" w14:paraId="4CE30DE3" w14:textId="77777777" w:rsidTr="00565DC9">
        <w:tc>
          <w:tcPr>
            <w:tcW w:w="144" w:type="pct"/>
            <w:tcBorders>
              <w:top w:val="outset" w:sz="6" w:space="0" w:color="414142"/>
              <w:left w:val="outset" w:sz="6" w:space="0" w:color="414142"/>
              <w:bottom w:val="outset" w:sz="6" w:space="0" w:color="414142"/>
              <w:right w:val="outset" w:sz="6" w:space="0" w:color="414142"/>
            </w:tcBorders>
          </w:tcPr>
          <w:p w14:paraId="5EECAB1C" w14:textId="42E08A01" w:rsidR="00BA2C7E" w:rsidRPr="00C32CEF" w:rsidRDefault="00BA2C7E" w:rsidP="00BA2C7E">
            <w:pPr>
              <w:spacing w:before="100" w:beforeAutospacing="1" w:after="100" w:afterAutospacing="1" w:line="293" w:lineRule="atLeast"/>
              <w:jc w:val="center"/>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2.</w:t>
            </w:r>
          </w:p>
        </w:tc>
        <w:tc>
          <w:tcPr>
            <w:tcW w:w="814" w:type="pct"/>
            <w:tcBorders>
              <w:top w:val="outset" w:sz="6" w:space="0" w:color="414142"/>
              <w:left w:val="outset" w:sz="6" w:space="0" w:color="414142"/>
              <w:bottom w:val="outset" w:sz="6" w:space="0" w:color="414142"/>
              <w:right w:val="outset" w:sz="6" w:space="0" w:color="414142"/>
            </w:tcBorders>
          </w:tcPr>
          <w:p w14:paraId="386D2A90" w14:textId="3A0E6BF1"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Citas starptautiskās saistības</w:t>
            </w:r>
          </w:p>
        </w:tc>
        <w:tc>
          <w:tcPr>
            <w:tcW w:w="4042" w:type="pct"/>
            <w:tcBorders>
              <w:top w:val="outset" w:sz="6" w:space="0" w:color="414142"/>
              <w:left w:val="outset" w:sz="6" w:space="0" w:color="414142"/>
              <w:bottom w:val="outset" w:sz="6" w:space="0" w:color="414142"/>
              <w:right w:val="outset" w:sz="6" w:space="0" w:color="414142"/>
            </w:tcBorders>
          </w:tcPr>
          <w:p w14:paraId="4F06A489" w14:textId="71A62A34"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Projekts šo jomu neskar.</w:t>
            </w:r>
          </w:p>
        </w:tc>
      </w:tr>
      <w:tr w:rsidR="00C32CEF" w:rsidRPr="00C32CEF" w14:paraId="23BB9BE4" w14:textId="77777777" w:rsidTr="00E822DA">
        <w:tc>
          <w:tcPr>
            <w:tcW w:w="144" w:type="pct"/>
            <w:tcBorders>
              <w:top w:val="outset" w:sz="6" w:space="0" w:color="414142"/>
              <w:left w:val="outset" w:sz="6" w:space="0" w:color="414142"/>
              <w:bottom w:val="outset" w:sz="6" w:space="0" w:color="414142"/>
              <w:right w:val="outset" w:sz="6" w:space="0" w:color="414142"/>
            </w:tcBorders>
          </w:tcPr>
          <w:p w14:paraId="19EE794D" w14:textId="0FEBA302" w:rsidR="00E822DA" w:rsidRPr="00C32CEF" w:rsidRDefault="00E822DA" w:rsidP="00BA2C7E">
            <w:pPr>
              <w:spacing w:before="100" w:beforeAutospacing="1" w:after="100" w:afterAutospacing="1" w:line="293" w:lineRule="atLeast"/>
              <w:jc w:val="center"/>
              <w:rPr>
                <w:rFonts w:ascii="Times New Roman" w:hAnsi="Times New Roman"/>
                <w:sz w:val="24"/>
                <w:szCs w:val="24"/>
              </w:rPr>
            </w:pPr>
            <w:r w:rsidRPr="00C32CEF">
              <w:rPr>
                <w:rFonts w:ascii="Times New Roman" w:hAnsi="Times New Roman"/>
                <w:sz w:val="24"/>
                <w:szCs w:val="24"/>
              </w:rPr>
              <w:lastRenderedPageBreak/>
              <w:t>3.</w:t>
            </w:r>
          </w:p>
        </w:tc>
        <w:tc>
          <w:tcPr>
            <w:tcW w:w="814" w:type="pct"/>
            <w:tcBorders>
              <w:top w:val="outset" w:sz="6" w:space="0" w:color="414142"/>
              <w:left w:val="outset" w:sz="6" w:space="0" w:color="414142"/>
              <w:bottom w:val="outset" w:sz="6" w:space="0" w:color="414142"/>
              <w:right w:val="outset" w:sz="6" w:space="0" w:color="414142"/>
            </w:tcBorders>
          </w:tcPr>
          <w:p w14:paraId="6CB045ED" w14:textId="78943C08" w:rsidR="00E822DA" w:rsidRPr="00C32CEF" w:rsidRDefault="00E822DA" w:rsidP="00E822DA">
            <w:pPr>
              <w:spacing w:before="100" w:beforeAutospacing="1" w:after="100" w:afterAutospacing="1" w:line="293" w:lineRule="atLeast"/>
              <w:rPr>
                <w:rFonts w:ascii="Times New Roman" w:hAnsi="Times New Roman"/>
                <w:sz w:val="24"/>
                <w:szCs w:val="24"/>
              </w:rPr>
            </w:pPr>
            <w:r w:rsidRPr="00C32CEF">
              <w:rPr>
                <w:rFonts w:ascii="Times New Roman" w:hAnsi="Times New Roman"/>
                <w:sz w:val="24"/>
                <w:szCs w:val="24"/>
              </w:rPr>
              <w:t>Cita informācija</w:t>
            </w:r>
          </w:p>
        </w:tc>
        <w:tc>
          <w:tcPr>
            <w:tcW w:w="4042" w:type="pct"/>
            <w:tcBorders>
              <w:top w:val="outset" w:sz="6" w:space="0" w:color="414142"/>
              <w:left w:val="outset" w:sz="6" w:space="0" w:color="414142"/>
              <w:bottom w:val="outset" w:sz="6" w:space="0" w:color="414142"/>
              <w:right w:val="outset" w:sz="6" w:space="0" w:color="414142"/>
            </w:tcBorders>
          </w:tcPr>
          <w:p w14:paraId="5E8BA208" w14:textId="43CE6B68" w:rsidR="00FA5D16" w:rsidRDefault="00EC5CD5" w:rsidP="00794304">
            <w:pPr>
              <w:spacing w:before="100" w:beforeAutospacing="1" w:after="100" w:afterAutospacing="1" w:line="293" w:lineRule="atLeast"/>
              <w:jc w:val="both"/>
              <w:rPr>
                <w:rFonts w:ascii="Times New Roman" w:hAnsi="Times New Roman"/>
                <w:sz w:val="24"/>
                <w:szCs w:val="24"/>
              </w:rPr>
            </w:pPr>
            <w:r w:rsidRPr="00C32CEF">
              <w:rPr>
                <w:rFonts w:ascii="Times New Roman" w:hAnsi="Times New Roman"/>
                <w:sz w:val="24"/>
                <w:szCs w:val="24"/>
              </w:rPr>
              <w:t>Eiropas Komisijas paziņojuma "Par atsauces likmes un diskonta likmes noteikšanas metodes pārskatīšanu" (publicēts Eiropas Savienības Oficiālajā Vēstnesī 2008.</w:t>
            </w:r>
            <w:r w:rsidR="00B65EB0">
              <w:rPr>
                <w:rFonts w:ascii="Times New Roman" w:hAnsi="Times New Roman"/>
                <w:sz w:val="24"/>
                <w:szCs w:val="24"/>
              </w:rPr>
              <w:t> </w:t>
            </w:r>
            <w:r w:rsidRPr="00C32CEF">
              <w:rPr>
                <w:rFonts w:ascii="Times New Roman" w:hAnsi="Times New Roman"/>
                <w:sz w:val="24"/>
                <w:szCs w:val="24"/>
              </w:rPr>
              <w:t>gada 19.</w:t>
            </w:r>
            <w:r w:rsidR="00B65EB0">
              <w:rPr>
                <w:rFonts w:ascii="Times New Roman" w:hAnsi="Times New Roman"/>
                <w:sz w:val="24"/>
                <w:szCs w:val="24"/>
              </w:rPr>
              <w:t> </w:t>
            </w:r>
            <w:r w:rsidRPr="00C32CEF">
              <w:rPr>
                <w:rFonts w:ascii="Times New Roman" w:hAnsi="Times New Roman"/>
                <w:sz w:val="24"/>
                <w:szCs w:val="24"/>
              </w:rPr>
              <w:t>janvārī C 014)</w:t>
            </w:r>
            <w:r w:rsidR="006C5C67">
              <w:rPr>
                <w:rFonts w:ascii="Times New Roman" w:hAnsi="Times New Roman"/>
                <w:sz w:val="24"/>
                <w:szCs w:val="24"/>
              </w:rPr>
              <w:t xml:space="preserve"> (turpmāk – EK paziņojums)</w:t>
            </w:r>
            <w:r w:rsidR="00FA5D16" w:rsidRPr="00C32CEF">
              <w:rPr>
                <w:rFonts w:ascii="Times New Roman" w:hAnsi="Times New Roman"/>
                <w:sz w:val="24"/>
                <w:szCs w:val="24"/>
              </w:rPr>
              <w:t xml:space="preserve"> prasību izpilde tiks nodrošināta ar projekta </w:t>
            </w:r>
            <w:r w:rsidR="00312245" w:rsidRPr="00C32CEF">
              <w:rPr>
                <w:rFonts w:ascii="Times New Roman" w:hAnsi="Times New Roman"/>
                <w:sz w:val="24"/>
                <w:szCs w:val="24"/>
              </w:rPr>
              <w:t>58</w:t>
            </w:r>
            <w:r w:rsidR="00FA5D16" w:rsidRPr="00C32CEF">
              <w:rPr>
                <w:rFonts w:ascii="Times New Roman" w:hAnsi="Times New Roman"/>
                <w:sz w:val="24"/>
                <w:szCs w:val="24"/>
              </w:rPr>
              <w:t>.</w:t>
            </w:r>
            <w:r w:rsidR="00312245" w:rsidRPr="00C32CEF">
              <w:rPr>
                <w:rFonts w:ascii="Times New Roman" w:hAnsi="Times New Roman"/>
                <w:sz w:val="24"/>
                <w:szCs w:val="24"/>
              </w:rPr>
              <w:t>,</w:t>
            </w:r>
            <w:r w:rsidR="00B65EB0">
              <w:rPr>
                <w:rFonts w:ascii="Times New Roman" w:hAnsi="Times New Roman"/>
                <w:sz w:val="24"/>
                <w:szCs w:val="24"/>
              </w:rPr>
              <w:t xml:space="preserve"> </w:t>
            </w:r>
            <w:r w:rsidR="00934C37">
              <w:rPr>
                <w:rFonts w:ascii="Times New Roman" w:hAnsi="Times New Roman"/>
                <w:sz w:val="24"/>
                <w:szCs w:val="24"/>
              </w:rPr>
              <w:t>70</w:t>
            </w:r>
            <w:r w:rsidR="00312245" w:rsidRPr="00C32CEF">
              <w:rPr>
                <w:rFonts w:ascii="Times New Roman" w:hAnsi="Times New Roman"/>
                <w:sz w:val="24"/>
                <w:szCs w:val="24"/>
              </w:rPr>
              <w:t xml:space="preserve">., </w:t>
            </w:r>
            <w:r w:rsidR="00934C37">
              <w:rPr>
                <w:rFonts w:ascii="Times New Roman" w:hAnsi="Times New Roman"/>
                <w:sz w:val="24"/>
                <w:szCs w:val="24"/>
              </w:rPr>
              <w:t>71</w:t>
            </w:r>
            <w:r w:rsidR="00312245" w:rsidRPr="00C32CEF">
              <w:rPr>
                <w:rFonts w:ascii="Times New Roman" w:hAnsi="Times New Roman"/>
                <w:sz w:val="24"/>
                <w:szCs w:val="24"/>
              </w:rPr>
              <w:t>.</w:t>
            </w:r>
            <w:r w:rsidR="00FA5D16" w:rsidRPr="00C32CEF">
              <w:rPr>
                <w:rFonts w:ascii="Times New Roman" w:hAnsi="Times New Roman"/>
                <w:sz w:val="24"/>
                <w:szCs w:val="24"/>
              </w:rPr>
              <w:t>punktā</w:t>
            </w:r>
            <w:r w:rsidR="00312245" w:rsidRPr="00C32CEF">
              <w:rPr>
                <w:rFonts w:ascii="Times New Roman" w:hAnsi="Times New Roman"/>
                <w:sz w:val="24"/>
                <w:szCs w:val="24"/>
              </w:rPr>
              <w:t xml:space="preserve"> un 3.</w:t>
            </w:r>
            <w:r w:rsidR="00B65EB0">
              <w:rPr>
                <w:rFonts w:ascii="Times New Roman" w:hAnsi="Times New Roman"/>
                <w:sz w:val="24"/>
                <w:szCs w:val="24"/>
              </w:rPr>
              <w:t> </w:t>
            </w:r>
            <w:r w:rsidR="00312245" w:rsidRPr="00C32CEF">
              <w:rPr>
                <w:rFonts w:ascii="Times New Roman" w:hAnsi="Times New Roman"/>
                <w:sz w:val="24"/>
                <w:szCs w:val="24"/>
              </w:rPr>
              <w:t xml:space="preserve">pielikumā </w:t>
            </w:r>
            <w:r w:rsidR="00FA5D16" w:rsidRPr="00C32CEF">
              <w:rPr>
                <w:rFonts w:ascii="Times New Roman" w:hAnsi="Times New Roman"/>
                <w:sz w:val="24"/>
                <w:szCs w:val="24"/>
              </w:rPr>
              <w:t>ietvertajām prasībām.</w:t>
            </w:r>
          </w:p>
          <w:p w14:paraId="5244314D" w14:textId="27B38A27" w:rsidR="006C5C67" w:rsidRPr="00C32CEF" w:rsidRDefault="006C5C67" w:rsidP="0079430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2.</w:t>
            </w:r>
            <w:r w:rsidR="003011BF">
              <w:rPr>
                <w:rFonts w:ascii="Times New Roman" w:hAnsi="Times New Roman"/>
                <w:sz w:val="24"/>
                <w:szCs w:val="24"/>
              </w:rPr>
              <w:t>7</w:t>
            </w:r>
            <w:r>
              <w:rPr>
                <w:rFonts w:ascii="Times New Roman" w:hAnsi="Times New Roman"/>
                <w:sz w:val="24"/>
                <w:szCs w:val="24"/>
              </w:rPr>
              <w:t>.</w:t>
            </w:r>
            <w:r w:rsidR="003011BF">
              <w:rPr>
                <w:rFonts w:ascii="Times New Roman" w:hAnsi="Times New Roman"/>
                <w:sz w:val="24"/>
                <w:szCs w:val="24"/>
              </w:rPr>
              <w:t xml:space="preserve"> un 2.8</w:t>
            </w:r>
            <w:r>
              <w:rPr>
                <w:rFonts w:ascii="Times New Roman" w:hAnsi="Times New Roman"/>
                <w:sz w:val="24"/>
                <w:szCs w:val="24"/>
              </w:rPr>
              <w:t xml:space="preserve">. apakšpunktos nostādnes ir noteiktas stingrākas nekā </w:t>
            </w:r>
            <w:r w:rsidR="00BC0165">
              <w:rPr>
                <w:rFonts w:ascii="Times New Roman" w:hAnsi="Times New Roman"/>
                <w:sz w:val="24"/>
                <w:szCs w:val="24"/>
              </w:rPr>
              <w:t>Eiropas Komisijas paziņojumā</w:t>
            </w:r>
            <w:r w:rsidR="00BC0165" w:rsidRPr="00C32CEF">
              <w:rPr>
                <w:rFonts w:ascii="Times New Roman" w:hAnsi="Times New Roman"/>
                <w:sz w:val="24"/>
                <w:szCs w:val="24"/>
              </w:rPr>
              <w:t xml:space="preserve"> "Par atsauces likmes un diskonta likmes noteikšanas metodes pārskatīšanu" (publicēts Eiropas Savienības Oficiālajā Vēstnesī 2008.</w:t>
            </w:r>
            <w:r w:rsidR="00B65EB0">
              <w:rPr>
                <w:rFonts w:ascii="Times New Roman" w:hAnsi="Times New Roman"/>
                <w:sz w:val="24"/>
                <w:szCs w:val="24"/>
              </w:rPr>
              <w:t> </w:t>
            </w:r>
            <w:r w:rsidR="00BC0165" w:rsidRPr="00C32CEF">
              <w:rPr>
                <w:rFonts w:ascii="Times New Roman" w:hAnsi="Times New Roman"/>
                <w:sz w:val="24"/>
                <w:szCs w:val="24"/>
              </w:rPr>
              <w:t>gada 19.</w:t>
            </w:r>
            <w:r w:rsidR="00B65EB0">
              <w:rPr>
                <w:rFonts w:ascii="Times New Roman" w:hAnsi="Times New Roman"/>
                <w:sz w:val="24"/>
                <w:szCs w:val="24"/>
              </w:rPr>
              <w:t> </w:t>
            </w:r>
            <w:r w:rsidR="00BC0165" w:rsidRPr="00C32CEF">
              <w:rPr>
                <w:rFonts w:ascii="Times New Roman" w:hAnsi="Times New Roman"/>
                <w:sz w:val="24"/>
                <w:szCs w:val="24"/>
              </w:rPr>
              <w:t>janvārī C 014)</w:t>
            </w:r>
            <w:r w:rsidR="00DC5554">
              <w:rPr>
                <w:rFonts w:ascii="Times New Roman" w:hAnsi="Times New Roman"/>
                <w:sz w:val="24"/>
                <w:szCs w:val="24"/>
              </w:rPr>
              <w:t xml:space="preserve"> noteiktās</w:t>
            </w:r>
            <w:r>
              <w:rPr>
                <w:rFonts w:ascii="Times New Roman" w:hAnsi="Times New Roman"/>
                <w:sz w:val="24"/>
                <w:szCs w:val="24"/>
              </w:rPr>
              <w:t>, taču</w:t>
            </w:r>
            <w:r w:rsidR="00DC5554">
              <w:rPr>
                <w:rFonts w:ascii="Times New Roman" w:hAnsi="Times New Roman"/>
                <w:sz w:val="24"/>
                <w:szCs w:val="24"/>
              </w:rPr>
              <w:t>,</w:t>
            </w:r>
            <w:r>
              <w:rPr>
                <w:rFonts w:ascii="Times New Roman" w:hAnsi="Times New Roman"/>
                <w:sz w:val="24"/>
                <w:szCs w:val="24"/>
              </w:rPr>
              <w:t xml:space="preserve"> </w:t>
            </w:r>
            <w:r w:rsidR="00BC0165">
              <w:rPr>
                <w:rFonts w:ascii="Times New Roman" w:hAnsi="Times New Roman"/>
                <w:sz w:val="24"/>
                <w:szCs w:val="24"/>
              </w:rPr>
              <w:t>attiecībā uz komercdarbības atbalsta projekta</w:t>
            </w:r>
            <w:r w:rsidR="00BC0165" w:rsidRPr="00BC0165">
              <w:rPr>
                <w:rFonts w:ascii="Times New Roman" w:hAnsi="Times New Roman"/>
                <w:sz w:val="24"/>
                <w:szCs w:val="24"/>
              </w:rPr>
              <w:t xml:space="preserve"> īstenošan</w:t>
            </w:r>
            <w:r w:rsidR="00BC0165">
              <w:rPr>
                <w:rFonts w:ascii="Times New Roman" w:hAnsi="Times New Roman"/>
                <w:sz w:val="24"/>
                <w:szCs w:val="24"/>
              </w:rPr>
              <w:t>u</w:t>
            </w:r>
            <w:r w:rsidR="00DC5554">
              <w:rPr>
                <w:rFonts w:ascii="Times New Roman" w:hAnsi="Times New Roman"/>
                <w:sz w:val="24"/>
                <w:szCs w:val="24"/>
              </w:rPr>
              <w:t>,</w:t>
            </w:r>
            <w:r w:rsidR="00BC0165">
              <w:rPr>
                <w:rFonts w:ascii="Times New Roman" w:hAnsi="Times New Roman"/>
                <w:sz w:val="24"/>
                <w:szCs w:val="24"/>
              </w:rPr>
              <w:t xml:space="preserve"> minēto </w:t>
            </w:r>
            <w:r w:rsidR="00DC5554">
              <w:rPr>
                <w:rFonts w:ascii="Times New Roman" w:hAnsi="Times New Roman"/>
                <w:sz w:val="24"/>
                <w:szCs w:val="24"/>
              </w:rPr>
              <w:t>apakš</w:t>
            </w:r>
            <w:r w:rsidR="00BC0165">
              <w:rPr>
                <w:rFonts w:ascii="Times New Roman" w:hAnsi="Times New Roman"/>
                <w:sz w:val="24"/>
                <w:szCs w:val="24"/>
              </w:rPr>
              <w:t>punktu nostādnes ir attiecināmas</w:t>
            </w:r>
            <w:r w:rsidR="00DC5554">
              <w:rPr>
                <w:rFonts w:ascii="Times New Roman" w:hAnsi="Times New Roman"/>
                <w:sz w:val="24"/>
                <w:szCs w:val="24"/>
              </w:rPr>
              <w:t xml:space="preserve"> tikai</w:t>
            </w:r>
            <w:r w:rsidR="00BC0165">
              <w:rPr>
                <w:rFonts w:ascii="Times New Roman" w:hAnsi="Times New Roman"/>
                <w:sz w:val="24"/>
                <w:szCs w:val="24"/>
              </w:rPr>
              <w:t xml:space="preserve"> uz nodrošinājuma </w:t>
            </w:r>
            <w:r w:rsidR="00DC5554">
              <w:rPr>
                <w:rFonts w:ascii="Times New Roman" w:hAnsi="Times New Roman"/>
                <w:sz w:val="24"/>
                <w:szCs w:val="24"/>
              </w:rPr>
              <w:t>pietiekamības izvērtēšanu pie aizdevuma izsniegšanas un riska procentu likmes noteikšanai nodrošinājuma pietiekamība tiks vērtēta atbilstoši Eiropas Komisijas paziņojumā</w:t>
            </w:r>
            <w:r w:rsidR="00DC5554" w:rsidRPr="00C32CEF">
              <w:rPr>
                <w:rFonts w:ascii="Times New Roman" w:hAnsi="Times New Roman"/>
                <w:sz w:val="24"/>
                <w:szCs w:val="24"/>
              </w:rPr>
              <w:t xml:space="preserve"> "Par atsauces likmes un diskonta likmes noteikšanas metodes pārskatīšanu" (publicēts Eiropas Savienības Oficiālajā Vēstnesī 2008.</w:t>
            </w:r>
            <w:r w:rsidR="00B65EB0">
              <w:rPr>
                <w:rFonts w:ascii="Times New Roman" w:hAnsi="Times New Roman"/>
                <w:sz w:val="24"/>
                <w:szCs w:val="24"/>
              </w:rPr>
              <w:t> </w:t>
            </w:r>
            <w:r w:rsidR="00DC5554" w:rsidRPr="00C32CEF">
              <w:rPr>
                <w:rFonts w:ascii="Times New Roman" w:hAnsi="Times New Roman"/>
                <w:sz w:val="24"/>
                <w:szCs w:val="24"/>
              </w:rPr>
              <w:t>gada 19.</w:t>
            </w:r>
            <w:r w:rsidR="00B65EB0">
              <w:rPr>
                <w:rFonts w:ascii="Times New Roman" w:hAnsi="Times New Roman"/>
                <w:sz w:val="24"/>
                <w:szCs w:val="24"/>
              </w:rPr>
              <w:t> </w:t>
            </w:r>
            <w:r w:rsidR="00DC5554" w:rsidRPr="00C32CEF">
              <w:rPr>
                <w:rFonts w:ascii="Times New Roman" w:hAnsi="Times New Roman"/>
                <w:sz w:val="24"/>
                <w:szCs w:val="24"/>
              </w:rPr>
              <w:t>janvārī C 014)</w:t>
            </w:r>
            <w:r w:rsidR="00DC5554">
              <w:rPr>
                <w:rFonts w:ascii="Times New Roman" w:hAnsi="Times New Roman"/>
                <w:sz w:val="24"/>
                <w:szCs w:val="24"/>
              </w:rPr>
              <w:t xml:space="preserve"> noteiktajam. </w:t>
            </w:r>
          </w:p>
          <w:p w14:paraId="417795D3" w14:textId="7A3D6325" w:rsidR="00FA5D16" w:rsidRPr="00C32CEF" w:rsidRDefault="006052CC" w:rsidP="0093743E">
            <w:pPr>
              <w:spacing w:before="100" w:beforeAutospacing="1" w:after="100" w:afterAutospacing="1" w:line="293" w:lineRule="atLeast"/>
              <w:jc w:val="both"/>
              <w:rPr>
                <w:rFonts w:ascii="Times New Roman" w:hAnsi="Times New Roman"/>
                <w:sz w:val="24"/>
                <w:szCs w:val="24"/>
              </w:rPr>
            </w:pPr>
            <w:r w:rsidRPr="00C32CEF">
              <w:rPr>
                <w:rFonts w:ascii="Times New Roman" w:hAnsi="Times New Roman"/>
                <w:sz w:val="24"/>
                <w:szCs w:val="24"/>
              </w:rPr>
              <w:t xml:space="preserve">Pamatnostādnēs </w:t>
            </w:r>
            <w:r w:rsidR="00366C39" w:rsidRPr="00C32CEF">
              <w:rPr>
                <w:rFonts w:ascii="Times New Roman" w:hAnsi="Times New Roman"/>
                <w:sz w:val="24"/>
                <w:szCs w:val="24"/>
              </w:rPr>
              <w:t>p</w:t>
            </w:r>
            <w:r w:rsidRPr="00C32CEF">
              <w:rPr>
                <w:rFonts w:ascii="Times New Roman" w:hAnsi="Times New Roman"/>
                <w:sz w:val="24"/>
                <w:szCs w:val="24"/>
              </w:rPr>
              <w:t>rojektā ietverto prasību izpilde nodrošinās saderīgumu ar iekšējo tirgu saskaņā ar Līguma par Eiropas Savienības darbību 107. panta 3.punktu.</w:t>
            </w:r>
          </w:p>
        </w:tc>
      </w:tr>
    </w:tbl>
    <w:p w14:paraId="4B000EE0" w14:textId="01669D32" w:rsidR="003F0FBC" w:rsidRPr="00C32CEF" w:rsidRDefault="008F1960" w:rsidP="0049414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1262"/>
        <w:gridCol w:w="6576"/>
      </w:tblGrid>
      <w:tr w:rsidR="00C32CEF" w:rsidRPr="00C32CEF" w14:paraId="7047E5F2" w14:textId="77777777" w:rsidTr="00C32CE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5F1" w14:textId="0F0C9933"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b/>
                <w:bCs/>
                <w:sz w:val="24"/>
                <w:szCs w:val="24"/>
                <w:lang w:eastAsia="lv-LV"/>
              </w:rPr>
              <w:t>VI. Sabiedrības līdzdalība un komunikācijas aktivitātes</w:t>
            </w:r>
          </w:p>
        </w:tc>
      </w:tr>
      <w:tr w:rsidR="00C32CEF" w:rsidRPr="00C32CEF" w14:paraId="7047E5F6"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3" w14:textId="124FD8E2"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r w:rsidR="006B3826" w:rsidRPr="00C32CEF">
              <w:rPr>
                <w:rFonts w:ascii="Times New Roman" w:eastAsia="Times New Roman" w:hAnsi="Times New Roman" w:cs="Times New Roman"/>
                <w:sz w:val="24"/>
                <w:szCs w:val="24"/>
                <w:lang w:eastAsia="lv-LV"/>
              </w:rPr>
              <w:t xml:space="preserve"> </w:t>
            </w:r>
            <w:r w:rsidRPr="00C32CEF">
              <w:rPr>
                <w:rFonts w:ascii="Times New Roman" w:eastAsia="Times New Roman" w:hAnsi="Times New Roman" w:cs="Times New Roman"/>
                <w:sz w:val="24"/>
                <w:szCs w:val="24"/>
                <w:lang w:eastAsia="lv-LV"/>
              </w:rPr>
              <w:t>.</w:t>
            </w:r>
          </w:p>
        </w:tc>
        <w:tc>
          <w:tcPr>
            <w:tcW w:w="761" w:type="pct"/>
            <w:tcBorders>
              <w:top w:val="outset" w:sz="6" w:space="0" w:color="414142"/>
              <w:left w:val="outset" w:sz="6" w:space="0" w:color="414142"/>
              <w:bottom w:val="outset" w:sz="6" w:space="0" w:color="414142"/>
              <w:right w:val="outset" w:sz="6" w:space="0" w:color="414142"/>
            </w:tcBorders>
            <w:hideMark/>
          </w:tcPr>
          <w:p w14:paraId="7047E5F4"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Plānotās sabiedrības līdzdalības un komunikācijas aktivitātes saistībā ar projektu</w:t>
            </w:r>
          </w:p>
        </w:tc>
        <w:tc>
          <w:tcPr>
            <w:tcW w:w="3965" w:type="pct"/>
            <w:tcBorders>
              <w:top w:val="outset" w:sz="6" w:space="0" w:color="414142"/>
              <w:left w:val="outset" w:sz="6" w:space="0" w:color="414142"/>
              <w:bottom w:val="outset" w:sz="6" w:space="0" w:color="414142"/>
              <w:right w:val="outset" w:sz="6" w:space="0" w:color="414142"/>
            </w:tcBorders>
            <w:hideMark/>
          </w:tcPr>
          <w:p w14:paraId="7905F7D7" w14:textId="0F74E444" w:rsidR="003172DE" w:rsidRPr="00C32CEF" w:rsidRDefault="003172DE" w:rsidP="003172DE">
            <w:pPr>
              <w:pStyle w:val="NormalWeb"/>
              <w:spacing w:line="252" w:lineRule="auto"/>
              <w:jc w:val="both"/>
            </w:pPr>
            <w:r w:rsidRPr="00C32CEF">
              <w:t xml:space="preserve">Informācija par projekta izstrādi publicēta </w:t>
            </w:r>
            <w:r w:rsidR="00585C39" w:rsidRPr="00C32CEF">
              <w:rPr>
                <w:iCs/>
              </w:rPr>
              <w:t xml:space="preserve">gan </w:t>
            </w:r>
            <w:r w:rsidR="00460B53" w:rsidRPr="00C32CEF">
              <w:t>Valsts kases</w:t>
            </w:r>
            <w:r w:rsidRPr="00C32CEF">
              <w:t xml:space="preserve"> tīmekļvietnē sadaļā “Sabiedrības līdzdalība” – “Tiesību aktu projekti” – “</w:t>
            </w:r>
            <w:r w:rsidR="00460B53" w:rsidRPr="00C32CEF">
              <w:t>Izstrādes stadijā esošie tiesību aktu projekti</w:t>
            </w:r>
            <w:r w:rsidRPr="00C32CEF">
              <w:t>”</w:t>
            </w:r>
            <w:r w:rsidR="00585C39" w:rsidRPr="00C32CEF">
              <w:rPr>
                <w:iCs/>
              </w:rPr>
              <w:t>, gan arī Finanšu ministrijas tīmekļvietnē sadaļā “Sabiedrības līdzdalība” – “Tiesību aktu projekti” – “Valsts budžeta politika”</w:t>
            </w:r>
            <w:r w:rsidRPr="00C32CEF">
              <w:t>. L</w:t>
            </w:r>
            <w:r w:rsidRPr="00C32CEF">
              <w:rPr>
                <w:spacing w:val="-2"/>
              </w:rPr>
              <w:t>īdz ar to sabiedrības pārstāvji var līdzdarboties projekta izstrādē, rakstveidā sniedzot viedokļus par projektu.</w:t>
            </w:r>
            <w:r w:rsidRPr="00C32CEF">
              <w:t xml:space="preserve"> </w:t>
            </w:r>
            <w:r w:rsidRPr="00C32CEF">
              <w:rPr>
                <w:spacing w:val="-2"/>
              </w:rPr>
              <w:t>Tāpat sabiedrības pārstāvji varēs sniegt viedokļus par projektu pēc tā izsludināšanas Valsts sekretāru sanāksmē.</w:t>
            </w:r>
          </w:p>
          <w:p w14:paraId="7047E5F5" w14:textId="77035ADA" w:rsidR="003172DE" w:rsidRPr="00C32CEF" w:rsidRDefault="003172DE" w:rsidP="005B7885">
            <w:pPr>
              <w:spacing w:after="0" w:line="240" w:lineRule="auto"/>
              <w:rPr>
                <w:rFonts w:ascii="Times New Roman" w:eastAsia="Times New Roman" w:hAnsi="Times New Roman" w:cs="Times New Roman"/>
                <w:sz w:val="24"/>
                <w:szCs w:val="24"/>
                <w:lang w:eastAsia="lv-LV"/>
              </w:rPr>
            </w:pPr>
          </w:p>
        </w:tc>
      </w:tr>
      <w:tr w:rsidR="00C32CEF" w:rsidRPr="00C32CEF" w14:paraId="7047E5FA"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7"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761" w:type="pct"/>
            <w:tcBorders>
              <w:top w:val="outset" w:sz="6" w:space="0" w:color="414142"/>
              <w:left w:val="outset" w:sz="6" w:space="0" w:color="414142"/>
              <w:bottom w:val="outset" w:sz="6" w:space="0" w:color="414142"/>
              <w:right w:val="outset" w:sz="6" w:space="0" w:color="414142"/>
            </w:tcBorders>
            <w:hideMark/>
          </w:tcPr>
          <w:p w14:paraId="7047E5F8"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līdzdalība projekta izstrādē</w:t>
            </w:r>
          </w:p>
        </w:tc>
        <w:tc>
          <w:tcPr>
            <w:tcW w:w="3965" w:type="pct"/>
            <w:tcBorders>
              <w:top w:val="outset" w:sz="6" w:space="0" w:color="414142"/>
              <w:left w:val="outset" w:sz="6" w:space="0" w:color="414142"/>
              <w:bottom w:val="outset" w:sz="6" w:space="0" w:color="414142"/>
              <w:right w:val="outset" w:sz="6" w:space="0" w:color="414142"/>
            </w:tcBorders>
            <w:hideMark/>
          </w:tcPr>
          <w:p w14:paraId="7047E5F9" w14:textId="7C50FE79" w:rsidR="00A158D1" w:rsidRPr="00C32CEF" w:rsidRDefault="00460B53" w:rsidP="009925B9">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pārstāvji var līdzdarboties noteikumu projekta izstrādē, rakstveidā sniedzot viedokli par noteikumu projektu, kas 2019.</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 xml:space="preserve">gada </w:t>
            </w:r>
            <w:r w:rsidR="002A331A" w:rsidRPr="00C32CEF">
              <w:rPr>
                <w:rFonts w:ascii="Times New Roman" w:eastAsia="Times New Roman" w:hAnsi="Times New Roman" w:cs="Times New Roman"/>
                <w:sz w:val="24"/>
                <w:szCs w:val="24"/>
                <w:lang w:eastAsia="lv-LV"/>
              </w:rPr>
              <w:t>11</w:t>
            </w:r>
            <w:r w:rsidRPr="00C32CEF">
              <w:rPr>
                <w:rFonts w:ascii="Times New Roman" w:eastAsia="Times New Roman" w:hAnsi="Times New Roman" w:cs="Times New Roman"/>
                <w:sz w:val="24"/>
                <w:szCs w:val="24"/>
                <w:lang w:eastAsia="lv-LV"/>
              </w:rPr>
              <w:t>.</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 xml:space="preserve">februārī publicēts </w:t>
            </w:r>
            <w:r w:rsidR="008C43CD" w:rsidRPr="00C32CEF">
              <w:rPr>
                <w:rFonts w:ascii="Times New Roman" w:eastAsia="Times New Roman" w:hAnsi="Times New Roman" w:cs="Times New Roman"/>
                <w:sz w:val="24"/>
                <w:szCs w:val="24"/>
                <w:lang w:eastAsia="lv-LV"/>
              </w:rPr>
              <w:t xml:space="preserve">gan </w:t>
            </w:r>
            <w:r w:rsidR="002A331A" w:rsidRPr="00C32CEF">
              <w:rPr>
                <w:rFonts w:ascii="Times New Roman" w:eastAsia="Times New Roman" w:hAnsi="Times New Roman" w:cs="Times New Roman"/>
                <w:sz w:val="24"/>
                <w:szCs w:val="24"/>
                <w:lang w:eastAsia="lv-LV"/>
              </w:rPr>
              <w:t>Valsts kases</w:t>
            </w:r>
            <w:r w:rsidRPr="00C32CEF">
              <w:rPr>
                <w:rFonts w:ascii="Times New Roman" w:eastAsia="Times New Roman" w:hAnsi="Times New Roman" w:cs="Times New Roman"/>
                <w:sz w:val="24"/>
                <w:szCs w:val="24"/>
                <w:lang w:eastAsia="lv-LV"/>
              </w:rPr>
              <w:t xml:space="preserve"> </w:t>
            </w:r>
            <w:r w:rsidR="00D97BF5" w:rsidRPr="00C32CEF">
              <w:rPr>
                <w:rFonts w:ascii="Times New Roman" w:eastAsia="Times New Roman" w:hAnsi="Times New Roman" w:cs="Times New Roman"/>
                <w:sz w:val="24"/>
                <w:szCs w:val="24"/>
                <w:lang w:eastAsia="lv-LV"/>
              </w:rPr>
              <w:t>tīmekļvietnē</w:t>
            </w:r>
            <w:r w:rsidRPr="00C32CEF">
              <w:rPr>
                <w:rFonts w:ascii="Times New Roman" w:eastAsia="Times New Roman" w:hAnsi="Times New Roman" w:cs="Times New Roman"/>
                <w:sz w:val="24"/>
                <w:szCs w:val="24"/>
                <w:lang w:eastAsia="lv-LV"/>
              </w:rPr>
              <w:t xml:space="preserve"> sadaļā “Sabiedrības līdzdalība” – “Tiesību aktu projekti” – “</w:t>
            </w:r>
            <w:r w:rsidR="002A331A" w:rsidRPr="00C32CEF">
              <w:rPr>
                <w:rFonts w:ascii="Times New Roman" w:eastAsia="Times New Roman" w:hAnsi="Times New Roman" w:cs="Times New Roman"/>
                <w:sz w:val="24"/>
                <w:szCs w:val="24"/>
                <w:lang w:eastAsia="lv-LV"/>
              </w:rPr>
              <w:t>Izstrādes stadijā esošie tiesību aktu projekti</w:t>
            </w:r>
            <w:r w:rsidRPr="00C32CEF">
              <w:rPr>
                <w:rFonts w:ascii="Times New Roman" w:eastAsia="Times New Roman" w:hAnsi="Times New Roman" w:cs="Times New Roman"/>
                <w:sz w:val="24"/>
                <w:szCs w:val="24"/>
                <w:lang w:eastAsia="lv-LV"/>
              </w:rPr>
              <w:t>”, adrese:</w:t>
            </w:r>
            <w:r w:rsidR="008C43CD" w:rsidRPr="00C32CEF">
              <w:rPr>
                <w:rFonts w:ascii="Times New Roman" w:eastAsia="Times New Roman" w:hAnsi="Times New Roman" w:cs="Times New Roman"/>
                <w:sz w:val="24"/>
                <w:szCs w:val="24"/>
                <w:lang w:eastAsia="lv-LV"/>
              </w:rPr>
              <w:t xml:space="preserve"> </w:t>
            </w:r>
            <w:hyperlink r:id="rId11" w:history="1">
              <w:r w:rsidR="00585C39" w:rsidRPr="00C32CEF">
                <w:rPr>
                  <w:rFonts w:ascii="Times New Roman" w:eastAsia="Times New Roman" w:hAnsi="Times New Roman" w:cs="Times New Roman"/>
                  <w:sz w:val="24"/>
                  <w:szCs w:val="24"/>
                  <w:lang w:eastAsia="lv-LV"/>
                </w:rPr>
                <w:t>https://www.kase.gov.lv/valsts-kase/sabiedribas-lidzdaliba</w:t>
              </w:r>
            </w:hyperlink>
            <w:r w:rsidR="008D23E1" w:rsidRPr="00C32CEF">
              <w:rPr>
                <w:rFonts w:ascii="Times New Roman" w:eastAsia="Times New Roman" w:hAnsi="Times New Roman" w:cs="Times New Roman"/>
                <w:sz w:val="24"/>
                <w:szCs w:val="24"/>
                <w:lang w:eastAsia="lv-LV"/>
              </w:rPr>
              <w:t>, gan Finanšu ministrijas tīmekļvietnē sadaļā “Sabiedrības līdzdalība” – “Tiesību aktu projekti” – “Valsts budžeta politika”</w:t>
            </w:r>
            <w:r w:rsidR="00D97BF5" w:rsidRPr="00C32CEF">
              <w:rPr>
                <w:rFonts w:ascii="Times New Roman" w:eastAsia="Times New Roman" w:hAnsi="Times New Roman" w:cs="Times New Roman"/>
                <w:sz w:val="24"/>
                <w:szCs w:val="24"/>
                <w:lang w:eastAsia="lv-LV"/>
              </w:rPr>
              <w:t xml:space="preserve">, adrese: </w:t>
            </w:r>
            <w:r w:rsidR="008C43CD" w:rsidRPr="001A77E9">
              <w:rPr>
                <w:rStyle w:val="Hyperlink"/>
                <w:rFonts w:ascii="Times New Roman" w:eastAsia="Times New Roman" w:hAnsi="Times New Roman" w:cs="Times New Roman"/>
                <w:color w:val="auto"/>
                <w:sz w:val="24"/>
                <w:szCs w:val="24"/>
                <w:u w:val="none"/>
                <w:lang w:eastAsia="lv-LV"/>
              </w:rPr>
              <w:t>http://fm.gov.lv/lv/sabiedribas_lidzdaliba/tiesibu_aktu_projekti/valsts_budzeta_politika/#project539</w:t>
            </w:r>
            <w:r w:rsidR="008C43CD" w:rsidRPr="00C32CEF">
              <w:rPr>
                <w:rFonts w:ascii="Times New Roman" w:eastAsia="Times New Roman" w:hAnsi="Times New Roman" w:cs="Times New Roman"/>
                <w:sz w:val="24"/>
                <w:szCs w:val="24"/>
                <w:lang w:eastAsia="lv-LV"/>
              </w:rPr>
              <w:t xml:space="preserve"> </w:t>
            </w:r>
            <w:r w:rsidR="002A331A" w:rsidRPr="00C32CEF">
              <w:rPr>
                <w:rFonts w:ascii="Times New Roman" w:eastAsia="Times New Roman" w:hAnsi="Times New Roman" w:cs="Times New Roman"/>
                <w:sz w:val="24"/>
                <w:szCs w:val="24"/>
                <w:lang w:eastAsia="lv-LV"/>
              </w:rPr>
              <w:t>.</w:t>
            </w:r>
            <w:r w:rsidR="00585C39" w:rsidRPr="00C32CEF">
              <w:rPr>
                <w:rFonts w:ascii="Times New Roman" w:eastAsia="Times New Roman" w:hAnsi="Times New Roman" w:cs="Times New Roman"/>
                <w:sz w:val="24"/>
                <w:szCs w:val="24"/>
                <w:lang w:eastAsia="lv-LV"/>
              </w:rPr>
              <w:t xml:space="preserve"> </w:t>
            </w:r>
          </w:p>
        </w:tc>
      </w:tr>
      <w:tr w:rsidR="00C32CEF" w:rsidRPr="00C32CEF" w14:paraId="7047E5FE"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B"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761" w:type="pct"/>
            <w:tcBorders>
              <w:top w:val="outset" w:sz="6" w:space="0" w:color="414142"/>
              <w:left w:val="outset" w:sz="6" w:space="0" w:color="414142"/>
              <w:bottom w:val="outset" w:sz="6" w:space="0" w:color="414142"/>
              <w:right w:val="outset" w:sz="6" w:space="0" w:color="414142"/>
            </w:tcBorders>
            <w:hideMark/>
          </w:tcPr>
          <w:p w14:paraId="7047E5FC" w14:textId="77777777" w:rsidR="008F1960" w:rsidRPr="00C32CEF" w:rsidRDefault="008F1960"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līdzdalības rezultāti</w:t>
            </w:r>
          </w:p>
        </w:tc>
        <w:tc>
          <w:tcPr>
            <w:tcW w:w="3965" w:type="pct"/>
            <w:tcBorders>
              <w:top w:val="outset" w:sz="6" w:space="0" w:color="414142"/>
              <w:left w:val="outset" w:sz="6" w:space="0" w:color="414142"/>
              <w:bottom w:val="outset" w:sz="6" w:space="0" w:color="414142"/>
              <w:right w:val="outset" w:sz="6" w:space="0" w:color="414142"/>
            </w:tcBorders>
            <w:hideMark/>
          </w:tcPr>
          <w:p w14:paraId="7047E5FD" w14:textId="11826EF2" w:rsidR="00C76B03" w:rsidRPr="00C32CEF" w:rsidRDefault="008C43CD"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hAnsi="Times New Roman" w:cs="Times New Roman"/>
                <w:sz w:val="24"/>
                <w:szCs w:val="24"/>
              </w:rPr>
              <w:t>Sabiedrības pārstāvju iebildumi un priekšlikumi nav saņemti.</w:t>
            </w:r>
          </w:p>
        </w:tc>
      </w:tr>
      <w:tr w:rsidR="00C32CEF" w:rsidRPr="00C32CEF" w14:paraId="7047E602"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F"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lastRenderedPageBreak/>
              <w:t>4.</w:t>
            </w:r>
          </w:p>
        </w:tc>
        <w:tc>
          <w:tcPr>
            <w:tcW w:w="761" w:type="pct"/>
            <w:tcBorders>
              <w:top w:val="outset" w:sz="6" w:space="0" w:color="414142"/>
              <w:left w:val="outset" w:sz="6" w:space="0" w:color="414142"/>
              <w:bottom w:val="outset" w:sz="6" w:space="0" w:color="414142"/>
              <w:right w:val="outset" w:sz="6" w:space="0" w:color="414142"/>
            </w:tcBorders>
            <w:hideMark/>
          </w:tcPr>
          <w:p w14:paraId="7047E600" w14:textId="77777777" w:rsidR="008F1960" w:rsidRPr="00C32CEF" w:rsidRDefault="008F1960"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965" w:type="pct"/>
            <w:tcBorders>
              <w:top w:val="outset" w:sz="6" w:space="0" w:color="414142"/>
              <w:left w:val="outset" w:sz="6" w:space="0" w:color="414142"/>
              <w:bottom w:val="outset" w:sz="6" w:space="0" w:color="414142"/>
              <w:right w:val="outset" w:sz="6" w:space="0" w:color="414142"/>
            </w:tcBorders>
            <w:hideMark/>
          </w:tcPr>
          <w:p w14:paraId="7047E601" w14:textId="40B33DF8" w:rsidR="008F1960" w:rsidRPr="00C32CEF" w:rsidRDefault="008517F8"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Projekta </w:t>
            </w:r>
            <w:r w:rsidR="008A5EE4" w:rsidRPr="00C32CEF">
              <w:rPr>
                <w:rFonts w:ascii="Times New Roman" w:eastAsia="Times New Roman" w:hAnsi="Times New Roman" w:cs="Times New Roman"/>
                <w:sz w:val="24"/>
                <w:szCs w:val="24"/>
                <w:lang w:eastAsia="lv-LV"/>
              </w:rPr>
              <w:t>3.</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pielikums</w:t>
            </w:r>
            <w:r w:rsidR="008A5EE4" w:rsidRPr="00C32CEF">
              <w:rPr>
                <w:rFonts w:ascii="Times New Roman" w:eastAsia="Times New Roman" w:hAnsi="Times New Roman" w:cs="Times New Roman"/>
                <w:sz w:val="24"/>
                <w:szCs w:val="24"/>
                <w:lang w:eastAsia="lv-LV"/>
              </w:rPr>
              <w:t xml:space="preserve"> izstrādāts atbilstoši Komisijas paziņojumam par atsauces likmes un diskonta likmes noteikšanas metodei (Eiropas Savienības Oficiālais Vēstnesis, 2008.</w:t>
            </w:r>
            <w:r w:rsidR="00F55DE8">
              <w:rPr>
                <w:rFonts w:ascii="Times New Roman" w:eastAsia="Times New Roman" w:hAnsi="Times New Roman" w:cs="Times New Roman"/>
                <w:sz w:val="24"/>
                <w:szCs w:val="24"/>
                <w:lang w:eastAsia="lv-LV"/>
              </w:rPr>
              <w:t> </w:t>
            </w:r>
            <w:r w:rsidR="008A5EE4" w:rsidRPr="00C32CEF">
              <w:rPr>
                <w:rFonts w:ascii="Times New Roman" w:eastAsia="Times New Roman" w:hAnsi="Times New Roman" w:cs="Times New Roman"/>
                <w:sz w:val="24"/>
                <w:szCs w:val="24"/>
                <w:lang w:eastAsia="lv-LV"/>
              </w:rPr>
              <w:t>gada 19.</w:t>
            </w:r>
            <w:r w:rsidR="00F55DE8">
              <w:rPr>
                <w:rFonts w:ascii="Times New Roman" w:eastAsia="Times New Roman" w:hAnsi="Times New Roman" w:cs="Times New Roman"/>
                <w:sz w:val="24"/>
                <w:szCs w:val="24"/>
                <w:lang w:eastAsia="lv-LV"/>
              </w:rPr>
              <w:t> </w:t>
            </w:r>
            <w:r w:rsidR="008A5EE4" w:rsidRPr="00C32CEF">
              <w:rPr>
                <w:rFonts w:ascii="Times New Roman" w:eastAsia="Times New Roman" w:hAnsi="Times New Roman" w:cs="Times New Roman"/>
                <w:sz w:val="24"/>
                <w:szCs w:val="24"/>
                <w:lang w:eastAsia="lv-LV"/>
              </w:rPr>
              <w:t>janvāris, NR. C 014).</w:t>
            </w:r>
          </w:p>
        </w:tc>
      </w:tr>
    </w:tbl>
    <w:p w14:paraId="7047E603"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605"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7E604"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VII. Tiesību akta projekta izpildes nodrošināšana un tās ietekme uz institūcijām</w:t>
            </w:r>
          </w:p>
        </w:tc>
      </w:tr>
      <w:tr w:rsidR="00C32CEF" w:rsidRPr="00C32CEF" w14:paraId="7047E60A"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06"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607"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047E609" w14:textId="08CC43A2" w:rsidR="00CB27F5" w:rsidRPr="00C32CEF" w:rsidRDefault="00CB27F5"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Finanšu ministrija, Valsts kase.</w:t>
            </w:r>
          </w:p>
        </w:tc>
      </w:tr>
      <w:tr w:rsidR="00C32CEF" w:rsidRPr="00C32CEF" w14:paraId="7047E611"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0B"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60C"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izpildes ietekme uz pārvaldes funkcijām un institucionālo struktūru.</w:t>
            </w:r>
            <w:r w:rsidRPr="00C32CE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047E60E" w14:textId="2E91DD04" w:rsidR="00D324B5" w:rsidRPr="00C32CEF" w:rsidRDefault="00D324B5" w:rsidP="0081433E">
            <w:pPr>
              <w:spacing w:after="0" w:line="240" w:lineRule="auto"/>
              <w:ind w:right="111"/>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Projekta izpilde paredzēta esošo funkciju</w:t>
            </w:r>
            <w:r w:rsidR="002040EE" w:rsidRPr="00C32CEF">
              <w:rPr>
                <w:rFonts w:ascii="Times New Roman" w:eastAsia="Times New Roman" w:hAnsi="Times New Roman" w:cs="Times New Roman"/>
                <w:sz w:val="24"/>
                <w:szCs w:val="24"/>
              </w:rPr>
              <w:t>,</w:t>
            </w:r>
            <w:r w:rsidRPr="00C32CEF">
              <w:rPr>
                <w:rFonts w:ascii="Times New Roman" w:eastAsia="Times New Roman" w:hAnsi="Times New Roman" w:cs="Times New Roman"/>
                <w:sz w:val="24"/>
                <w:szCs w:val="24"/>
              </w:rPr>
              <w:t xml:space="preserve"> cilvēkresursu </w:t>
            </w:r>
            <w:r w:rsidR="002040EE" w:rsidRPr="00C32CEF">
              <w:rPr>
                <w:rFonts w:ascii="Times New Roman" w:eastAsia="Times New Roman" w:hAnsi="Times New Roman" w:cs="Times New Roman"/>
                <w:sz w:val="24"/>
                <w:szCs w:val="24"/>
              </w:rPr>
              <w:t>un finanšu</w:t>
            </w:r>
            <w:r w:rsidR="002040EE" w:rsidRPr="00C32CEF">
              <w:rPr>
                <w:rFonts w:ascii="Times New Roman" w:eastAsia="Times New Roman" w:hAnsi="Times New Roman" w:cs="Times New Roman"/>
                <w:sz w:val="24"/>
                <w:szCs w:val="24"/>
                <w:lang w:eastAsia="lv-LV"/>
              </w:rPr>
              <w:t xml:space="preserve"> resursu ietvaros.</w:t>
            </w:r>
          </w:p>
          <w:p w14:paraId="7047E610" w14:textId="400F7E71" w:rsidR="00D324B5" w:rsidRPr="00C32CEF" w:rsidRDefault="00D324B5" w:rsidP="0081433E">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Jaunas institūcijas netiek veidotas, kā arī netiek paredzēta esošo institūciju likvidācija vai reorganizācija.</w:t>
            </w:r>
          </w:p>
        </w:tc>
      </w:tr>
      <w:tr w:rsidR="00C32CEF" w:rsidRPr="00C32CEF" w14:paraId="7047E616"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12"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047E613"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047E615" w14:textId="6FEAB753" w:rsidR="00CB27F5" w:rsidRPr="00C32CEF" w:rsidRDefault="00CB27F5"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Nav</w:t>
            </w:r>
            <w:r w:rsidR="004D47F4" w:rsidRPr="00C32CEF">
              <w:rPr>
                <w:rFonts w:ascii="Times New Roman" w:eastAsia="Times New Roman" w:hAnsi="Times New Roman" w:cs="Times New Roman"/>
                <w:sz w:val="24"/>
                <w:szCs w:val="24"/>
              </w:rPr>
              <w:t>.</w:t>
            </w:r>
          </w:p>
        </w:tc>
      </w:tr>
    </w:tbl>
    <w:p w14:paraId="7047E617" w14:textId="77777777" w:rsidR="008F1960" w:rsidRDefault="008F1960">
      <w:pPr>
        <w:rPr>
          <w:rFonts w:ascii="Times New Roman" w:hAnsi="Times New Roman" w:cs="Times New Roman"/>
          <w:sz w:val="24"/>
          <w:szCs w:val="24"/>
        </w:rPr>
      </w:pPr>
    </w:p>
    <w:p w14:paraId="7047E618" w14:textId="77777777" w:rsidR="00D14864" w:rsidRDefault="00D14864">
      <w:pPr>
        <w:rPr>
          <w:rFonts w:ascii="Times New Roman" w:hAnsi="Times New Roman" w:cs="Times New Roman"/>
          <w:sz w:val="24"/>
          <w:szCs w:val="24"/>
        </w:rPr>
      </w:pPr>
    </w:p>
    <w:p w14:paraId="7047E619" w14:textId="2EC83329" w:rsidR="00D14864" w:rsidRPr="008F1960" w:rsidRDefault="007220C5" w:rsidP="00D14864">
      <w:pPr>
        <w:tabs>
          <w:tab w:val="left" w:pos="6804"/>
        </w:tabs>
        <w:rPr>
          <w:rFonts w:ascii="Times New Roman" w:hAnsi="Times New Roman" w:cs="Times New Roman"/>
          <w:sz w:val="24"/>
          <w:szCs w:val="24"/>
        </w:rPr>
      </w:pPr>
      <w:r>
        <w:rPr>
          <w:rFonts w:ascii="Times New Roman" w:hAnsi="Times New Roman" w:cs="Times New Roman"/>
          <w:sz w:val="24"/>
          <w:szCs w:val="24"/>
        </w:rPr>
        <w:t>Finanšu ministr</w:t>
      </w:r>
      <w:r w:rsidR="00BA0F01">
        <w:rPr>
          <w:rFonts w:ascii="Times New Roman" w:hAnsi="Times New Roman" w:cs="Times New Roman"/>
          <w:sz w:val="24"/>
          <w:szCs w:val="24"/>
        </w:rPr>
        <w:t>s</w:t>
      </w:r>
      <w:r>
        <w:rPr>
          <w:rFonts w:ascii="Times New Roman" w:hAnsi="Times New Roman" w:cs="Times New Roman"/>
          <w:sz w:val="24"/>
          <w:szCs w:val="24"/>
        </w:rPr>
        <w:t xml:space="preserve">                                                                             </w:t>
      </w:r>
      <w:r w:rsidR="00B40AC2">
        <w:rPr>
          <w:rFonts w:ascii="Times New Roman" w:hAnsi="Times New Roman" w:cs="Times New Roman"/>
          <w:sz w:val="24"/>
          <w:szCs w:val="24"/>
        </w:rPr>
        <w:tab/>
      </w:r>
      <w:r w:rsidR="00B40AC2">
        <w:rPr>
          <w:rFonts w:ascii="Times New Roman" w:hAnsi="Times New Roman" w:cs="Times New Roman"/>
          <w:sz w:val="24"/>
          <w:szCs w:val="24"/>
        </w:rPr>
        <w:tab/>
      </w:r>
      <w:r>
        <w:rPr>
          <w:rFonts w:ascii="Times New Roman" w:hAnsi="Times New Roman" w:cs="Times New Roman"/>
          <w:sz w:val="24"/>
          <w:szCs w:val="24"/>
        </w:rPr>
        <w:t xml:space="preserve">    </w:t>
      </w:r>
      <w:r w:rsidR="0070052A">
        <w:rPr>
          <w:rFonts w:ascii="Times New Roman" w:hAnsi="Times New Roman" w:cs="Times New Roman"/>
          <w:sz w:val="24"/>
          <w:szCs w:val="24"/>
        </w:rPr>
        <w:t>J.Reirs</w:t>
      </w:r>
    </w:p>
    <w:sectPr w:rsidR="00D14864" w:rsidRPr="008F1960" w:rsidSect="009E1A0C">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3256" w14:textId="77777777" w:rsidR="00E37364" w:rsidRDefault="00E37364" w:rsidP="008F1960">
      <w:pPr>
        <w:spacing w:after="0" w:line="240" w:lineRule="auto"/>
      </w:pPr>
      <w:r>
        <w:separator/>
      </w:r>
    </w:p>
  </w:endnote>
  <w:endnote w:type="continuationSeparator" w:id="0">
    <w:p w14:paraId="024E3C60" w14:textId="77777777" w:rsidR="00E37364" w:rsidRDefault="00E37364" w:rsidP="008F1960">
      <w:pPr>
        <w:spacing w:after="0" w:line="240" w:lineRule="auto"/>
      </w:pPr>
      <w:r>
        <w:continuationSeparator/>
      </w:r>
    </w:p>
  </w:endnote>
  <w:endnote w:type="continuationNotice" w:id="1">
    <w:p w14:paraId="4C9B6324" w14:textId="77777777" w:rsidR="00E37364" w:rsidRDefault="00E37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E61E" w14:textId="761FEA28" w:rsidR="006F0796" w:rsidRPr="004438C0" w:rsidRDefault="00E37364" w:rsidP="00D333B1">
    <w:pPr>
      <w:pStyle w:val="Footer"/>
      <w:rPr>
        <w:rFonts w:ascii="Times New Roman" w:hAnsi="Times New Roman" w:cs="Times New Roman"/>
      </w:rPr>
    </w:pPr>
    <w:sdt>
      <w:sdtPr>
        <w:rPr>
          <w:rFonts w:ascii="Times New Roman" w:hAnsi="Times New Roman" w:cs="Times New Roman"/>
        </w:rPr>
        <w:id w:val="522063683"/>
        <w:docPartObj>
          <w:docPartGallery w:val="Page Numbers (Bottom of Page)"/>
          <w:docPartUnique/>
        </w:docPartObj>
      </w:sdtPr>
      <w:sdtEndPr>
        <w:rPr>
          <w:noProof/>
        </w:rPr>
      </w:sdtEndPr>
      <w:sdtContent>
        <w:r w:rsidR="00A42569">
          <w:rPr>
            <w:rFonts w:ascii="Times New Roman" w:hAnsi="Times New Roman" w:cs="Times New Roman"/>
          </w:rPr>
          <w:t>FMa</w:t>
        </w:r>
        <w:r w:rsidR="00B40AC2">
          <w:rPr>
            <w:rFonts w:ascii="Times New Roman" w:hAnsi="Times New Roman" w:cs="Times New Roman"/>
          </w:rPr>
          <w:t>not_</w:t>
        </w:r>
        <w:r w:rsidR="00E54C95">
          <w:rPr>
            <w:rFonts w:ascii="Times New Roman" w:hAnsi="Times New Roman" w:cs="Times New Roman"/>
          </w:rPr>
          <w:t>26</w:t>
        </w:r>
        <w:r w:rsidR="00B876BA">
          <w:rPr>
            <w:rFonts w:ascii="Times New Roman" w:hAnsi="Times New Roman" w:cs="Times New Roman"/>
          </w:rPr>
          <w:t>06</w:t>
        </w:r>
        <w:r w:rsidR="006F0796" w:rsidRPr="004438C0">
          <w:rPr>
            <w:rFonts w:ascii="Times New Roman" w:hAnsi="Times New Roman" w:cs="Times New Roman"/>
          </w:rPr>
          <w:t>1</w:t>
        </w:r>
        <w:r w:rsidR="006F0796">
          <w:rPr>
            <w:rFonts w:ascii="Times New Roman" w:hAnsi="Times New Roman" w:cs="Times New Roman"/>
          </w:rPr>
          <w:t>9</w:t>
        </w:r>
        <w:r w:rsidR="006F0796" w:rsidRPr="004438C0">
          <w:rPr>
            <w:rFonts w:ascii="Times New Roman" w:hAnsi="Times New Roman" w:cs="Times New Roman"/>
          </w:rPr>
          <w:t>_aizdevumi</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699F" w14:textId="6B93BBC4" w:rsidR="008246EF" w:rsidRPr="004438C0" w:rsidRDefault="00E37364" w:rsidP="008246EF">
    <w:pPr>
      <w:pStyle w:val="Footer"/>
      <w:rPr>
        <w:rFonts w:ascii="Times New Roman" w:hAnsi="Times New Roman" w:cs="Times New Roman"/>
      </w:rPr>
    </w:pPr>
    <w:sdt>
      <w:sdtPr>
        <w:rPr>
          <w:rFonts w:ascii="Times New Roman" w:hAnsi="Times New Roman" w:cs="Times New Roman"/>
        </w:rPr>
        <w:id w:val="1513719687"/>
        <w:docPartObj>
          <w:docPartGallery w:val="Page Numbers (Bottom of Page)"/>
          <w:docPartUnique/>
        </w:docPartObj>
      </w:sdtPr>
      <w:sdtEndPr>
        <w:rPr>
          <w:noProof/>
        </w:rPr>
      </w:sdtEndPr>
      <w:sdtContent>
        <w:r w:rsidR="00B40AC2">
          <w:rPr>
            <w:rFonts w:ascii="Times New Roman" w:hAnsi="Times New Roman" w:cs="Times New Roman"/>
          </w:rPr>
          <w:t>FM</w:t>
        </w:r>
        <w:r w:rsidR="00A42569">
          <w:rPr>
            <w:rFonts w:ascii="Times New Roman" w:hAnsi="Times New Roman" w:cs="Times New Roman"/>
          </w:rPr>
          <w:t>a</w:t>
        </w:r>
        <w:r w:rsidR="00B40AC2">
          <w:rPr>
            <w:rFonts w:ascii="Times New Roman" w:hAnsi="Times New Roman" w:cs="Times New Roman"/>
          </w:rPr>
          <w:t>not_</w:t>
        </w:r>
        <w:r w:rsidR="00E54C95">
          <w:rPr>
            <w:rFonts w:ascii="Times New Roman" w:hAnsi="Times New Roman" w:cs="Times New Roman"/>
          </w:rPr>
          <w:t>26</w:t>
        </w:r>
        <w:r w:rsidR="00B876BA">
          <w:rPr>
            <w:rFonts w:ascii="Times New Roman" w:hAnsi="Times New Roman" w:cs="Times New Roman"/>
          </w:rPr>
          <w:t>06</w:t>
        </w:r>
        <w:r w:rsidR="008246EF" w:rsidRPr="004438C0">
          <w:rPr>
            <w:rFonts w:ascii="Times New Roman" w:hAnsi="Times New Roman" w:cs="Times New Roman"/>
          </w:rPr>
          <w:t>1</w:t>
        </w:r>
        <w:r w:rsidR="008246EF">
          <w:rPr>
            <w:rFonts w:ascii="Times New Roman" w:hAnsi="Times New Roman" w:cs="Times New Roman"/>
          </w:rPr>
          <w:t>9</w:t>
        </w:r>
        <w:r w:rsidR="008246EF" w:rsidRPr="004438C0">
          <w:rPr>
            <w:rFonts w:ascii="Times New Roman" w:hAnsi="Times New Roman" w:cs="Times New Roman"/>
          </w:rPr>
          <w:t>_aizdevumi</w:t>
        </w:r>
      </w:sdtContent>
    </w:sdt>
  </w:p>
  <w:p w14:paraId="78C03635" w14:textId="1179EB39" w:rsidR="006F0796" w:rsidRPr="004438C0" w:rsidRDefault="006F0796" w:rsidP="00DF5A61">
    <w:pPr>
      <w:pStyle w:val="Footer"/>
      <w:rPr>
        <w:rFonts w:ascii="Times New Roman" w:hAnsi="Times New Roman" w:cs="Times New Roman"/>
      </w:rPr>
    </w:pPr>
  </w:p>
  <w:p w14:paraId="301A7636" w14:textId="77777777" w:rsidR="006F0796" w:rsidRDefault="006F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E864" w14:textId="77777777" w:rsidR="00E37364" w:rsidRDefault="00E37364" w:rsidP="008F1960">
      <w:pPr>
        <w:spacing w:after="0" w:line="240" w:lineRule="auto"/>
      </w:pPr>
      <w:r>
        <w:separator/>
      </w:r>
    </w:p>
  </w:footnote>
  <w:footnote w:type="continuationSeparator" w:id="0">
    <w:p w14:paraId="4CEB3387" w14:textId="77777777" w:rsidR="00E37364" w:rsidRDefault="00E37364" w:rsidP="008F1960">
      <w:pPr>
        <w:spacing w:after="0" w:line="240" w:lineRule="auto"/>
      </w:pPr>
      <w:r>
        <w:continuationSeparator/>
      </w:r>
    </w:p>
  </w:footnote>
  <w:footnote w:type="continuationNotice" w:id="1">
    <w:p w14:paraId="7377960D" w14:textId="77777777" w:rsidR="00E37364" w:rsidRDefault="00E37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205218"/>
      <w:docPartObj>
        <w:docPartGallery w:val="Page Numbers (Top of Page)"/>
        <w:docPartUnique/>
      </w:docPartObj>
    </w:sdtPr>
    <w:sdtEndPr>
      <w:rPr>
        <w:noProof/>
      </w:rPr>
    </w:sdtEndPr>
    <w:sdtContent>
      <w:p w14:paraId="1D72F156" w14:textId="54159740" w:rsidR="006F0796" w:rsidRDefault="006F0796">
        <w:pPr>
          <w:pStyle w:val="Header"/>
          <w:jc w:val="center"/>
        </w:pPr>
        <w:r>
          <w:fldChar w:fldCharType="begin"/>
        </w:r>
        <w:r>
          <w:instrText xml:space="preserve"> PAGE   \* MERGEFORMAT </w:instrText>
        </w:r>
        <w:r>
          <w:fldChar w:fldCharType="separate"/>
        </w:r>
        <w:r w:rsidR="00463FCB">
          <w:rPr>
            <w:noProof/>
          </w:rPr>
          <w:t>10</w:t>
        </w:r>
        <w:r>
          <w:rPr>
            <w:noProof/>
          </w:rPr>
          <w:fldChar w:fldCharType="end"/>
        </w:r>
      </w:p>
    </w:sdtContent>
  </w:sdt>
  <w:p w14:paraId="3FA5EA52" w14:textId="77777777" w:rsidR="006F0796" w:rsidRDefault="006F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E5F"/>
    <w:multiLevelType w:val="multilevel"/>
    <w:tmpl w:val="16C83F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9C6F4D"/>
    <w:multiLevelType w:val="multilevel"/>
    <w:tmpl w:val="6D142A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74201E"/>
    <w:multiLevelType w:val="hybridMultilevel"/>
    <w:tmpl w:val="B7E20D6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221C34C7"/>
    <w:multiLevelType w:val="hybridMultilevel"/>
    <w:tmpl w:val="61E03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5B7569"/>
    <w:multiLevelType w:val="hybridMultilevel"/>
    <w:tmpl w:val="37FC4A68"/>
    <w:lvl w:ilvl="0" w:tplc="EBF6BC8E">
      <w:start w:val="1"/>
      <w:numFmt w:val="bullet"/>
      <w:lvlText w:val="•"/>
      <w:lvlJc w:val="left"/>
      <w:pPr>
        <w:tabs>
          <w:tab w:val="num" w:pos="720"/>
        </w:tabs>
        <w:ind w:left="720" w:hanging="360"/>
      </w:pPr>
      <w:rPr>
        <w:rFonts w:ascii="Arial" w:hAnsi="Arial" w:hint="default"/>
      </w:rPr>
    </w:lvl>
    <w:lvl w:ilvl="1" w:tplc="0804D234" w:tentative="1">
      <w:start w:val="1"/>
      <w:numFmt w:val="bullet"/>
      <w:lvlText w:val="•"/>
      <w:lvlJc w:val="left"/>
      <w:pPr>
        <w:tabs>
          <w:tab w:val="num" w:pos="1440"/>
        </w:tabs>
        <w:ind w:left="1440" w:hanging="360"/>
      </w:pPr>
      <w:rPr>
        <w:rFonts w:ascii="Arial" w:hAnsi="Arial" w:hint="default"/>
      </w:rPr>
    </w:lvl>
    <w:lvl w:ilvl="2" w:tplc="ACA0F2EA" w:tentative="1">
      <w:start w:val="1"/>
      <w:numFmt w:val="bullet"/>
      <w:lvlText w:val="•"/>
      <w:lvlJc w:val="left"/>
      <w:pPr>
        <w:tabs>
          <w:tab w:val="num" w:pos="2160"/>
        </w:tabs>
        <w:ind w:left="2160" w:hanging="360"/>
      </w:pPr>
      <w:rPr>
        <w:rFonts w:ascii="Arial" w:hAnsi="Arial" w:hint="default"/>
      </w:rPr>
    </w:lvl>
    <w:lvl w:ilvl="3" w:tplc="91B43D18" w:tentative="1">
      <w:start w:val="1"/>
      <w:numFmt w:val="bullet"/>
      <w:lvlText w:val="•"/>
      <w:lvlJc w:val="left"/>
      <w:pPr>
        <w:tabs>
          <w:tab w:val="num" w:pos="2880"/>
        </w:tabs>
        <w:ind w:left="2880" w:hanging="360"/>
      </w:pPr>
      <w:rPr>
        <w:rFonts w:ascii="Arial" w:hAnsi="Arial" w:hint="default"/>
      </w:rPr>
    </w:lvl>
    <w:lvl w:ilvl="4" w:tplc="434C4F4A" w:tentative="1">
      <w:start w:val="1"/>
      <w:numFmt w:val="bullet"/>
      <w:lvlText w:val="•"/>
      <w:lvlJc w:val="left"/>
      <w:pPr>
        <w:tabs>
          <w:tab w:val="num" w:pos="3600"/>
        </w:tabs>
        <w:ind w:left="3600" w:hanging="360"/>
      </w:pPr>
      <w:rPr>
        <w:rFonts w:ascii="Arial" w:hAnsi="Arial" w:hint="default"/>
      </w:rPr>
    </w:lvl>
    <w:lvl w:ilvl="5" w:tplc="27D6B184" w:tentative="1">
      <w:start w:val="1"/>
      <w:numFmt w:val="bullet"/>
      <w:lvlText w:val="•"/>
      <w:lvlJc w:val="left"/>
      <w:pPr>
        <w:tabs>
          <w:tab w:val="num" w:pos="4320"/>
        </w:tabs>
        <w:ind w:left="4320" w:hanging="360"/>
      </w:pPr>
      <w:rPr>
        <w:rFonts w:ascii="Arial" w:hAnsi="Arial" w:hint="default"/>
      </w:rPr>
    </w:lvl>
    <w:lvl w:ilvl="6" w:tplc="C01C6546" w:tentative="1">
      <w:start w:val="1"/>
      <w:numFmt w:val="bullet"/>
      <w:lvlText w:val="•"/>
      <w:lvlJc w:val="left"/>
      <w:pPr>
        <w:tabs>
          <w:tab w:val="num" w:pos="5040"/>
        </w:tabs>
        <w:ind w:left="5040" w:hanging="360"/>
      </w:pPr>
      <w:rPr>
        <w:rFonts w:ascii="Arial" w:hAnsi="Arial" w:hint="default"/>
      </w:rPr>
    </w:lvl>
    <w:lvl w:ilvl="7" w:tplc="B360DADE" w:tentative="1">
      <w:start w:val="1"/>
      <w:numFmt w:val="bullet"/>
      <w:lvlText w:val="•"/>
      <w:lvlJc w:val="left"/>
      <w:pPr>
        <w:tabs>
          <w:tab w:val="num" w:pos="5760"/>
        </w:tabs>
        <w:ind w:left="5760" w:hanging="360"/>
      </w:pPr>
      <w:rPr>
        <w:rFonts w:ascii="Arial" w:hAnsi="Arial" w:hint="default"/>
      </w:rPr>
    </w:lvl>
    <w:lvl w:ilvl="8" w:tplc="2CBC7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34538"/>
    <w:multiLevelType w:val="hybridMultilevel"/>
    <w:tmpl w:val="D4241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C4694A"/>
    <w:multiLevelType w:val="hybridMultilevel"/>
    <w:tmpl w:val="26AE6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45376A"/>
    <w:multiLevelType w:val="hybridMultilevel"/>
    <w:tmpl w:val="BD58659E"/>
    <w:lvl w:ilvl="0" w:tplc="A1B06E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8F3900"/>
    <w:multiLevelType w:val="hybridMultilevel"/>
    <w:tmpl w:val="C6764C9C"/>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23843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D05D2B"/>
    <w:multiLevelType w:val="hybridMultilevel"/>
    <w:tmpl w:val="5CAC96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4712047"/>
    <w:multiLevelType w:val="hybridMultilevel"/>
    <w:tmpl w:val="FEE649F2"/>
    <w:lvl w:ilvl="0" w:tplc="23EA3FF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84139"/>
    <w:multiLevelType w:val="multilevel"/>
    <w:tmpl w:val="E58606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4A3E49"/>
    <w:multiLevelType w:val="hybridMultilevel"/>
    <w:tmpl w:val="FE6288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E7337"/>
    <w:multiLevelType w:val="multilevel"/>
    <w:tmpl w:val="AE5EB944"/>
    <w:lvl w:ilvl="0">
      <w:start w:val="4"/>
      <w:numFmt w:val="decimal"/>
      <w:lvlText w:val="%1."/>
      <w:lvlJc w:val="left"/>
      <w:pPr>
        <w:ind w:left="360" w:hanging="360"/>
      </w:pPr>
      <w:rPr>
        <w:rFonts w:eastAsiaTheme="minorHAnsi" w:cstheme="minorBidi" w:hint="default"/>
        <w:color w:val="auto"/>
      </w:rPr>
    </w:lvl>
    <w:lvl w:ilvl="1">
      <w:start w:val="1"/>
      <w:numFmt w:val="decimal"/>
      <w:lvlText w:val="%1.%2."/>
      <w:lvlJc w:val="left"/>
      <w:pPr>
        <w:ind w:left="1080" w:hanging="360"/>
      </w:pPr>
      <w:rPr>
        <w:rFonts w:eastAsiaTheme="minorHAnsi" w:cstheme="minorBidi" w:hint="default"/>
        <w:color w:val="auto"/>
      </w:rPr>
    </w:lvl>
    <w:lvl w:ilvl="2">
      <w:start w:val="1"/>
      <w:numFmt w:val="decimal"/>
      <w:lvlText w:val="%1.%2.%3."/>
      <w:lvlJc w:val="left"/>
      <w:pPr>
        <w:ind w:left="2160" w:hanging="720"/>
      </w:pPr>
      <w:rPr>
        <w:rFonts w:eastAsiaTheme="minorHAnsi" w:cstheme="minorBidi" w:hint="default"/>
        <w:color w:val="auto"/>
      </w:rPr>
    </w:lvl>
    <w:lvl w:ilvl="3">
      <w:start w:val="1"/>
      <w:numFmt w:val="decimal"/>
      <w:lvlText w:val="%1.%2.%3.%4."/>
      <w:lvlJc w:val="left"/>
      <w:pPr>
        <w:ind w:left="2880" w:hanging="720"/>
      </w:pPr>
      <w:rPr>
        <w:rFonts w:eastAsiaTheme="minorHAnsi" w:cstheme="minorBidi" w:hint="default"/>
        <w:color w:val="auto"/>
      </w:rPr>
    </w:lvl>
    <w:lvl w:ilvl="4">
      <w:start w:val="1"/>
      <w:numFmt w:val="decimal"/>
      <w:lvlText w:val="%1.%2.%3.%4.%5."/>
      <w:lvlJc w:val="left"/>
      <w:pPr>
        <w:ind w:left="3960" w:hanging="1080"/>
      </w:pPr>
      <w:rPr>
        <w:rFonts w:eastAsiaTheme="minorHAnsi" w:cstheme="minorBidi" w:hint="default"/>
        <w:color w:val="auto"/>
      </w:rPr>
    </w:lvl>
    <w:lvl w:ilvl="5">
      <w:start w:val="1"/>
      <w:numFmt w:val="decimal"/>
      <w:lvlText w:val="%1.%2.%3.%4.%5.%6."/>
      <w:lvlJc w:val="left"/>
      <w:pPr>
        <w:ind w:left="4680" w:hanging="1080"/>
      </w:pPr>
      <w:rPr>
        <w:rFonts w:eastAsiaTheme="minorHAnsi" w:cstheme="minorBidi" w:hint="default"/>
        <w:color w:val="auto"/>
      </w:rPr>
    </w:lvl>
    <w:lvl w:ilvl="6">
      <w:start w:val="1"/>
      <w:numFmt w:val="decimal"/>
      <w:lvlText w:val="%1.%2.%3.%4.%5.%6.%7."/>
      <w:lvlJc w:val="left"/>
      <w:pPr>
        <w:ind w:left="5760" w:hanging="1440"/>
      </w:pPr>
      <w:rPr>
        <w:rFonts w:eastAsiaTheme="minorHAnsi" w:cstheme="minorBidi" w:hint="default"/>
        <w:color w:val="auto"/>
      </w:rPr>
    </w:lvl>
    <w:lvl w:ilvl="7">
      <w:start w:val="1"/>
      <w:numFmt w:val="decimal"/>
      <w:lvlText w:val="%1.%2.%3.%4.%5.%6.%7.%8."/>
      <w:lvlJc w:val="left"/>
      <w:pPr>
        <w:ind w:left="6480" w:hanging="1440"/>
      </w:pPr>
      <w:rPr>
        <w:rFonts w:eastAsiaTheme="minorHAnsi" w:cstheme="minorBidi" w:hint="default"/>
        <w:color w:val="auto"/>
      </w:rPr>
    </w:lvl>
    <w:lvl w:ilvl="8">
      <w:start w:val="1"/>
      <w:numFmt w:val="decimal"/>
      <w:lvlText w:val="%1.%2.%3.%4.%5.%6.%7.%8.%9."/>
      <w:lvlJc w:val="left"/>
      <w:pPr>
        <w:ind w:left="7560" w:hanging="1800"/>
      </w:pPr>
      <w:rPr>
        <w:rFonts w:eastAsiaTheme="minorHAnsi" w:cstheme="minorBidi" w:hint="default"/>
        <w:color w:val="auto"/>
      </w:rPr>
    </w:lvl>
  </w:abstractNum>
  <w:abstractNum w:abstractNumId="15" w15:restartNumberingAfterBreak="0">
    <w:nsid w:val="483B3D36"/>
    <w:multiLevelType w:val="hybridMultilevel"/>
    <w:tmpl w:val="CAC6B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1600AD"/>
    <w:multiLevelType w:val="hybridMultilevel"/>
    <w:tmpl w:val="B00C2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6828DF"/>
    <w:multiLevelType w:val="multilevel"/>
    <w:tmpl w:val="34A891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6DA1F0E"/>
    <w:multiLevelType w:val="hybridMultilevel"/>
    <w:tmpl w:val="151C24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FD0702"/>
    <w:multiLevelType w:val="hybridMultilevel"/>
    <w:tmpl w:val="BA3619E4"/>
    <w:lvl w:ilvl="0" w:tplc="651C7792">
      <w:start w:val="1"/>
      <w:numFmt w:val="decimal"/>
      <w:lvlText w:val="%1."/>
      <w:lvlJc w:val="left"/>
      <w:pPr>
        <w:ind w:left="1293" w:hanging="360"/>
      </w:pPr>
      <w:rPr>
        <w:rFonts w:hint="default"/>
      </w:rPr>
    </w:lvl>
    <w:lvl w:ilvl="1" w:tplc="04260019" w:tentative="1">
      <w:start w:val="1"/>
      <w:numFmt w:val="lowerLetter"/>
      <w:lvlText w:val="%2."/>
      <w:lvlJc w:val="left"/>
      <w:pPr>
        <w:ind w:left="2013" w:hanging="360"/>
      </w:pPr>
    </w:lvl>
    <w:lvl w:ilvl="2" w:tplc="0426001B" w:tentative="1">
      <w:start w:val="1"/>
      <w:numFmt w:val="lowerRoman"/>
      <w:lvlText w:val="%3."/>
      <w:lvlJc w:val="right"/>
      <w:pPr>
        <w:ind w:left="2733" w:hanging="180"/>
      </w:pPr>
    </w:lvl>
    <w:lvl w:ilvl="3" w:tplc="0426000F" w:tentative="1">
      <w:start w:val="1"/>
      <w:numFmt w:val="decimal"/>
      <w:lvlText w:val="%4."/>
      <w:lvlJc w:val="left"/>
      <w:pPr>
        <w:ind w:left="3453" w:hanging="360"/>
      </w:pPr>
    </w:lvl>
    <w:lvl w:ilvl="4" w:tplc="04260019" w:tentative="1">
      <w:start w:val="1"/>
      <w:numFmt w:val="lowerLetter"/>
      <w:lvlText w:val="%5."/>
      <w:lvlJc w:val="left"/>
      <w:pPr>
        <w:ind w:left="4173" w:hanging="360"/>
      </w:pPr>
    </w:lvl>
    <w:lvl w:ilvl="5" w:tplc="0426001B" w:tentative="1">
      <w:start w:val="1"/>
      <w:numFmt w:val="lowerRoman"/>
      <w:lvlText w:val="%6."/>
      <w:lvlJc w:val="right"/>
      <w:pPr>
        <w:ind w:left="4893" w:hanging="180"/>
      </w:pPr>
    </w:lvl>
    <w:lvl w:ilvl="6" w:tplc="0426000F" w:tentative="1">
      <w:start w:val="1"/>
      <w:numFmt w:val="decimal"/>
      <w:lvlText w:val="%7."/>
      <w:lvlJc w:val="left"/>
      <w:pPr>
        <w:ind w:left="5613" w:hanging="360"/>
      </w:pPr>
    </w:lvl>
    <w:lvl w:ilvl="7" w:tplc="04260019" w:tentative="1">
      <w:start w:val="1"/>
      <w:numFmt w:val="lowerLetter"/>
      <w:lvlText w:val="%8."/>
      <w:lvlJc w:val="left"/>
      <w:pPr>
        <w:ind w:left="6333" w:hanging="360"/>
      </w:pPr>
    </w:lvl>
    <w:lvl w:ilvl="8" w:tplc="0426001B" w:tentative="1">
      <w:start w:val="1"/>
      <w:numFmt w:val="lowerRoman"/>
      <w:lvlText w:val="%9."/>
      <w:lvlJc w:val="right"/>
      <w:pPr>
        <w:ind w:left="7053" w:hanging="180"/>
      </w:pPr>
    </w:lvl>
  </w:abstractNum>
  <w:abstractNum w:abstractNumId="20" w15:restartNumberingAfterBreak="0">
    <w:nsid w:val="5ED60B96"/>
    <w:multiLevelType w:val="multilevel"/>
    <w:tmpl w:val="D89A2C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534A1E"/>
    <w:multiLevelType w:val="hybridMultilevel"/>
    <w:tmpl w:val="2F5AEA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B4E4BF6"/>
    <w:multiLevelType w:val="hybridMultilevel"/>
    <w:tmpl w:val="B98846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F7D59B2"/>
    <w:multiLevelType w:val="hybridMultilevel"/>
    <w:tmpl w:val="3D4E5C76"/>
    <w:lvl w:ilvl="0" w:tplc="57FA9C86">
      <w:numFmt w:val="bullet"/>
      <w:lvlText w:val="-"/>
      <w:lvlJc w:val="left"/>
      <w:pPr>
        <w:ind w:left="1800" w:hanging="360"/>
      </w:pPr>
      <w:rPr>
        <w:rFonts w:ascii="Times New Roman" w:eastAsia="Times New Roman" w:hAnsi="Times New Roman" w:cs="Times New Roman" w:hint="default"/>
      </w:rPr>
    </w:lvl>
    <w:lvl w:ilvl="1" w:tplc="04260001">
      <w:start w:val="1"/>
      <w:numFmt w:val="bullet"/>
      <w:lvlText w:val=""/>
      <w:lvlJc w:val="left"/>
      <w:pPr>
        <w:ind w:left="2520" w:hanging="360"/>
      </w:pPr>
      <w:rPr>
        <w:rFonts w:ascii="Symbol" w:hAnsi="Symbol"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71436BA1"/>
    <w:multiLevelType w:val="multilevel"/>
    <w:tmpl w:val="9D5A1FEE"/>
    <w:lvl w:ilvl="0">
      <w:start w:val="1"/>
      <w:numFmt w:val="upperRoman"/>
      <w:pStyle w:val="Heading1"/>
      <w:lvlText w:val="%1."/>
      <w:lvlJc w:val="right"/>
      <w:pPr>
        <w:ind w:left="2487"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B6515C"/>
    <w:multiLevelType w:val="hybridMultilevel"/>
    <w:tmpl w:val="9E28EBD4"/>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num w:numId="1">
    <w:abstractNumId w:val="9"/>
  </w:num>
  <w:num w:numId="2">
    <w:abstractNumId w:val="11"/>
  </w:num>
  <w:num w:numId="3">
    <w:abstractNumId w:val="25"/>
  </w:num>
  <w:num w:numId="4">
    <w:abstractNumId w:val="3"/>
  </w:num>
  <w:num w:numId="5">
    <w:abstractNumId w:val="15"/>
  </w:num>
  <w:num w:numId="6">
    <w:abstractNumId w:val="5"/>
  </w:num>
  <w:num w:numId="7">
    <w:abstractNumId w:val="13"/>
  </w:num>
  <w:num w:numId="8">
    <w:abstractNumId w:val="7"/>
  </w:num>
  <w:num w:numId="9">
    <w:abstractNumId w:val="4"/>
  </w:num>
  <w:num w:numId="10">
    <w:abstractNumId w:val="20"/>
  </w:num>
  <w:num w:numId="11">
    <w:abstractNumId w:val="12"/>
  </w:num>
  <w:num w:numId="12">
    <w:abstractNumId w:val="14"/>
  </w:num>
  <w:num w:numId="13">
    <w:abstractNumId w:val="17"/>
  </w:num>
  <w:num w:numId="14">
    <w:abstractNumId w:val="1"/>
  </w:num>
  <w:num w:numId="15">
    <w:abstractNumId w:val="0"/>
  </w:num>
  <w:num w:numId="16">
    <w:abstractNumId w:val="18"/>
  </w:num>
  <w:num w:numId="17">
    <w:abstractNumId w:val="22"/>
  </w:num>
  <w:num w:numId="18">
    <w:abstractNumId w:val="21"/>
  </w:num>
  <w:num w:numId="19">
    <w:abstractNumId w:val="24"/>
  </w:num>
  <w:num w:numId="20">
    <w:abstractNumId w:val="1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60"/>
    <w:rsid w:val="00015D6B"/>
    <w:rsid w:val="00031A6E"/>
    <w:rsid w:val="00032487"/>
    <w:rsid w:val="00036D57"/>
    <w:rsid w:val="00047907"/>
    <w:rsid w:val="00047C1C"/>
    <w:rsid w:val="000531AE"/>
    <w:rsid w:val="00057BB6"/>
    <w:rsid w:val="000633EE"/>
    <w:rsid w:val="00067BEA"/>
    <w:rsid w:val="0008082F"/>
    <w:rsid w:val="000846E9"/>
    <w:rsid w:val="00084848"/>
    <w:rsid w:val="000930AD"/>
    <w:rsid w:val="000961B2"/>
    <w:rsid w:val="000B7F05"/>
    <w:rsid w:val="000C0E13"/>
    <w:rsid w:val="000E625C"/>
    <w:rsid w:val="000F0DAC"/>
    <w:rsid w:val="000F1D9A"/>
    <w:rsid w:val="000F2229"/>
    <w:rsid w:val="00100BDD"/>
    <w:rsid w:val="001029D9"/>
    <w:rsid w:val="00102B89"/>
    <w:rsid w:val="00105BF2"/>
    <w:rsid w:val="0011201F"/>
    <w:rsid w:val="00112FA1"/>
    <w:rsid w:val="00114A77"/>
    <w:rsid w:val="001170E6"/>
    <w:rsid w:val="001208F9"/>
    <w:rsid w:val="001264E6"/>
    <w:rsid w:val="00127A04"/>
    <w:rsid w:val="00135E58"/>
    <w:rsid w:val="00145853"/>
    <w:rsid w:val="0014654B"/>
    <w:rsid w:val="001576E1"/>
    <w:rsid w:val="001577EA"/>
    <w:rsid w:val="0017554F"/>
    <w:rsid w:val="00180F0C"/>
    <w:rsid w:val="00183E6E"/>
    <w:rsid w:val="00191472"/>
    <w:rsid w:val="001920D9"/>
    <w:rsid w:val="00192A80"/>
    <w:rsid w:val="00193809"/>
    <w:rsid w:val="001A018F"/>
    <w:rsid w:val="001A19EC"/>
    <w:rsid w:val="001A77E9"/>
    <w:rsid w:val="001B532C"/>
    <w:rsid w:val="001C7187"/>
    <w:rsid w:val="001D3713"/>
    <w:rsid w:val="001E405F"/>
    <w:rsid w:val="001F4737"/>
    <w:rsid w:val="001F6AA6"/>
    <w:rsid w:val="002040EE"/>
    <w:rsid w:val="00204DF3"/>
    <w:rsid w:val="002124C5"/>
    <w:rsid w:val="00215427"/>
    <w:rsid w:val="00216208"/>
    <w:rsid w:val="00221099"/>
    <w:rsid w:val="00223303"/>
    <w:rsid w:val="00224DA6"/>
    <w:rsid w:val="0022543E"/>
    <w:rsid w:val="002257E3"/>
    <w:rsid w:val="002306BD"/>
    <w:rsid w:val="0023323A"/>
    <w:rsid w:val="00233962"/>
    <w:rsid w:val="002527A8"/>
    <w:rsid w:val="0025402F"/>
    <w:rsid w:val="002543B5"/>
    <w:rsid w:val="00257219"/>
    <w:rsid w:val="0026587A"/>
    <w:rsid w:val="00267CF8"/>
    <w:rsid w:val="0027448E"/>
    <w:rsid w:val="0027479C"/>
    <w:rsid w:val="00275221"/>
    <w:rsid w:val="00276A06"/>
    <w:rsid w:val="002830E2"/>
    <w:rsid w:val="00286E2D"/>
    <w:rsid w:val="00292841"/>
    <w:rsid w:val="002A11D2"/>
    <w:rsid w:val="002A120D"/>
    <w:rsid w:val="002A331A"/>
    <w:rsid w:val="002A6880"/>
    <w:rsid w:val="002B2942"/>
    <w:rsid w:val="002B71F9"/>
    <w:rsid w:val="002C1C38"/>
    <w:rsid w:val="002D6E0A"/>
    <w:rsid w:val="002D71CB"/>
    <w:rsid w:val="002E378A"/>
    <w:rsid w:val="002E3F43"/>
    <w:rsid w:val="002E4044"/>
    <w:rsid w:val="002E7BA2"/>
    <w:rsid w:val="002F1844"/>
    <w:rsid w:val="002F5D40"/>
    <w:rsid w:val="00300E6C"/>
    <w:rsid w:val="003011BF"/>
    <w:rsid w:val="00302F38"/>
    <w:rsid w:val="00312245"/>
    <w:rsid w:val="0031637A"/>
    <w:rsid w:val="003172DE"/>
    <w:rsid w:val="003311C4"/>
    <w:rsid w:val="00334164"/>
    <w:rsid w:val="0033777B"/>
    <w:rsid w:val="00344628"/>
    <w:rsid w:val="00344BDF"/>
    <w:rsid w:val="00347A94"/>
    <w:rsid w:val="00360B7D"/>
    <w:rsid w:val="00363C71"/>
    <w:rsid w:val="00366C39"/>
    <w:rsid w:val="0038147A"/>
    <w:rsid w:val="00381CB1"/>
    <w:rsid w:val="00391FEB"/>
    <w:rsid w:val="00395A58"/>
    <w:rsid w:val="003A213E"/>
    <w:rsid w:val="003A5C00"/>
    <w:rsid w:val="003B26A9"/>
    <w:rsid w:val="003B3B71"/>
    <w:rsid w:val="003C1F5D"/>
    <w:rsid w:val="003C615F"/>
    <w:rsid w:val="003D1C61"/>
    <w:rsid w:val="003D39DC"/>
    <w:rsid w:val="003E5C57"/>
    <w:rsid w:val="003F0FBC"/>
    <w:rsid w:val="003F45E4"/>
    <w:rsid w:val="003F4E05"/>
    <w:rsid w:val="00404D76"/>
    <w:rsid w:val="00416649"/>
    <w:rsid w:val="0042346C"/>
    <w:rsid w:val="0042690D"/>
    <w:rsid w:val="0043161D"/>
    <w:rsid w:val="004438C0"/>
    <w:rsid w:val="00444D6E"/>
    <w:rsid w:val="004470C4"/>
    <w:rsid w:val="00460B53"/>
    <w:rsid w:val="0046176C"/>
    <w:rsid w:val="00461F12"/>
    <w:rsid w:val="00463FCB"/>
    <w:rsid w:val="00472501"/>
    <w:rsid w:val="00474E2E"/>
    <w:rsid w:val="00486E75"/>
    <w:rsid w:val="004913C9"/>
    <w:rsid w:val="00491B44"/>
    <w:rsid w:val="004923CE"/>
    <w:rsid w:val="00494140"/>
    <w:rsid w:val="00495414"/>
    <w:rsid w:val="004A1EBE"/>
    <w:rsid w:val="004A4E6C"/>
    <w:rsid w:val="004A4F3A"/>
    <w:rsid w:val="004A5AF4"/>
    <w:rsid w:val="004B13B6"/>
    <w:rsid w:val="004B3D81"/>
    <w:rsid w:val="004C5AD3"/>
    <w:rsid w:val="004C7C38"/>
    <w:rsid w:val="004D0977"/>
    <w:rsid w:val="004D47F4"/>
    <w:rsid w:val="004D5074"/>
    <w:rsid w:val="004D63A4"/>
    <w:rsid w:val="004E169F"/>
    <w:rsid w:val="004E440F"/>
    <w:rsid w:val="004E4DBD"/>
    <w:rsid w:val="004F0C97"/>
    <w:rsid w:val="005156FE"/>
    <w:rsid w:val="00517B5C"/>
    <w:rsid w:val="0052060F"/>
    <w:rsid w:val="0053035E"/>
    <w:rsid w:val="005370DD"/>
    <w:rsid w:val="0054420D"/>
    <w:rsid w:val="005513E6"/>
    <w:rsid w:val="00565D98"/>
    <w:rsid w:val="00565DC9"/>
    <w:rsid w:val="00576130"/>
    <w:rsid w:val="00577FD3"/>
    <w:rsid w:val="00583A38"/>
    <w:rsid w:val="00584177"/>
    <w:rsid w:val="005846FF"/>
    <w:rsid w:val="00585C39"/>
    <w:rsid w:val="005918E6"/>
    <w:rsid w:val="00597C82"/>
    <w:rsid w:val="005A1A44"/>
    <w:rsid w:val="005B411F"/>
    <w:rsid w:val="005B4C38"/>
    <w:rsid w:val="005B7885"/>
    <w:rsid w:val="005C460A"/>
    <w:rsid w:val="005D33BD"/>
    <w:rsid w:val="005E04AB"/>
    <w:rsid w:val="005F15C5"/>
    <w:rsid w:val="00602654"/>
    <w:rsid w:val="00604A8F"/>
    <w:rsid w:val="006052CC"/>
    <w:rsid w:val="00607573"/>
    <w:rsid w:val="006142FF"/>
    <w:rsid w:val="006244FE"/>
    <w:rsid w:val="00625EFD"/>
    <w:rsid w:val="0063004C"/>
    <w:rsid w:val="00631284"/>
    <w:rsid w:val="00643EED"/>
    <w:rsid w:val="00650052"/>
    <w:rsid w:val="00654A55"/>
    <w:rsid w:val="00657952"/>
    <w:rsid w:val="0066152B"/>
    <w:rsid w:val="00664439"/>
    <w:rsid w:val="006725F6"/>
    <w:rsid w:val="0067508B"/>
    <w:rsid w:val="0068796A"/>
    <w:rsid w:val="0069510F"/>
    <w:rsid w:val="00696153"/>
    <w:rsid w:val="006B1E23"/>
    <w:rsid w:val="006B3826"/>
    <w:rsid w:val="006B582B"/>
    <w:rsid w:val="006B753B"/>
    <w:rsid w:val="006C58CF"/>
    <w:rsid w:val="006C5C67"/>
    <w:rsid w:val="006C6683"/>
    <w:rsid w:val="006C6685"/>
    <w:rsid w:val="006D5F79"/>
    <w:rsid w:val="006E3B44"/>
    <w:rsid w:val="006E6361"/>
    <w:rsid w:val="006F0796"/>
    <w:rsid w:val="006F46F9"/>
    <w:rsid w:val="0070052A"/>
    <w:rsid w:val="00705867"/>
    <w:rsid w:val="00705B02"/>
    <w:rsid w:val="007105D2"/>
    <w:rsid w:val="0071457E"/>
    <w:rsid w:val="00716E39"/>
    <w:rsid w:val="007204E6"/>
    <w:rsid w:val="007220C5"/>
    <w:rsid w:val="00730B98"/>
    <w:rsid w:val="00732BB3"/>
    <w:rsid w:val="00733711"/>
    <w:rsid w:val="0073492C"/>
    <w:rsid w:val="007417A6"/>
    <w:rsid w:val="007431D9"/>
    <w:rsid w:val="007540A9"/>
    <w:rsid w:val="00754A09"/>
    <w:rsid w:val="00756F33"/>
    <w:rsid w:val="007659B6"/>
    <w:rsid w:val="00767A29"/>
    <w:rsid w:val="0077590F"/>
    <w:rsid w:val="0077609A"/>
    <w:rsid w:val="007829F7"/>
    <w:rsid w:val="00791028"/>
    <w:rsid w:val="00794304"/>
    <w:rsid w:val="007A5A35"/>
    <w:rsid w:val="007A7C74"/>
    <w:rsid w:val="007B551C"/>
    <w:rsid w:val="007C6BD4"/>
    <w:rsid w:val="007D0239"/>
    <w:rsid w:val="007D5515"/>
    <w:rsid w:val="007E16EE"/>
    <w:rsid w:val="007E70E1"/>
    <w:rsid w:val="00800445"/>
    <w:rsid w:val="008026E4"/>
    <w:rsid w:val="008050A9"/>
    <w:rsid w:val="0080712D"/>
    <w:rsid w:val="0081433E"/>
    <w:rsid w:val="00815930"/>
    <w:rsid w:val="00820C6A"/>
    <w:rsid w:val="0082367E"/>
    <w:rsid w:val="008246EF"/>
    <w:rsid w:val="0082576B"/>
    <w:rsid w:val="00840E26"/>
    <w:rsid w:val="00845008"/>
    <w:rsid w:val="008459B5"/>
    <w:rsid w:val="0085041C"/>
    <w:rsid w:val="008517F8"/>
    <w:rsid w:val="008679A3"/>
    <w:rsid w:val="00870AD2"/>
    <w:rsid w:val="00874157"/>
    <w:rsid w:val="008748B1"/>
    <w:rsid w:val="0089592A"/>
    <w:rsid w:val="0089618C"/>
    <w:rsid w:val="00896578"/>
    <w:rsid w:val="008A1833"/>
    <w:rsid w:val="008A5806"/>
    <w:rsid w:val="008A5EE4"/>
    <w:rsid w:val="008A5F95"/>
    <w:rsid w:val="008B27B0"/>
    <w:rsid w:val="008C43CD"/>
    <w:rsid w:val="008C5DBF"/>
    <w:rsid w:val="008D23E1"/>
    <w:rsid w:val="008D4AD6"/>
    <w:rsid w:val="008E2811"/>
    <w:rsid w:val="008E6185"/>
    <w:rsid w:val="008F1960"/>
    <w:rsid w:val="008F2018"/>
    <w:rsid w:val="008F56EC"/>
    <w:rsid w:val="008F6D17"/>
    <w:rsid w:val="008F6E49"/>
    <w:rsid w:val="008F72FA"/>
    <w:rsid w:val="009118FB"/>
    <w:rsid w:val="00913D7A"/>
    <w:rsid w:val="00917E4E"/>
    <w:rsid w:val="00921E52"/>
    <w:rsid w:val="009225F3"/>
    <w:rsid w:val="00925DC6"/>
    <w:rsid w:val="009316BC"/>
    <w:rsid w:val="009333B3"/>
    <w:rsid w:val="00934C37"/>
    <w:rsid w:val="0093743E"/>
    <w:rsid w:val="0095207B"/>
    <w:rsid w:val="00962BBA"/>
    <w:rsid w:val="00964E91"/>
    <w:rsid w:val="00966C96"/>
    <w:rsid w:val="00966ED8"/>
    <w:rsid w:val="00966FF3"/>
    <w:rsid w:val="00967286"/>
    <w:rsid w:val="00980F3C"/>
    <w:rsid w:val="009925B9"/>
    <w:rsid w:val="00995732"/>
    <w:rsid w:val="009A2E61"/>
    <w:rsid w:val="009B1005"/>
    <w:rsid w:val="009B695B"/>
    <w:rsid w:val="009C0CBE"/>
    <w:rsid w:val="009C1B45"/>
    <w:rsid w:val="009C2F90"/>
    <w:rsid w:val="009D686A"/>
    <w:rsid w:val="009E1A0C"/>
    <w:rsid w:val="009E5941"/>
    <w:rsid w:val="009E6A79"/>
    <w:rsid w:val="009E6A91"/>
    <w:rsid w:val="009E7968"/>
    <w:rsid w:val="009F031B"/>
    <w:rsid w:val="00A0549E"/>
    <w:rsid w:val="00A0568F"/>
    <w:rsid w:val="00A11F1E"/>
    <w:rsid w:val="00A158D1"/>
    <w:rsid w:val="00A26FF3"/>
    <w:rsid w:val="00A2775F"/>
    <w:rsid w:val="00A30E36"/>
    <w:rsid w:val="00A35FB4"/>
    <w:rsid w:val="00A42569"/>
    <w:rsid w:val="00A44A3B"/>
    <w:rsid w:val="00A52406"/>
    <w:rsid w:val="00A52918"/>
    <w:rsid w:val="00A62396"/>
    <w:rsid w:val="00A74746"/>
    <w:rsid w:val="00A765A4"/>
    <w:rsid w:val="00A80442"/>
    <w:rsid w:val="00A81059"/>
    <w:rsid w:val="00A920CB"/>
    <w:rsid w:val="00A94B4B"/>
    <w:rsid w:val="00A96EBF"/>
    <w:rsid w:val="00AA4EE7"/>
    <w:rsid w:val="00AA5956"/>
    <w:rsid w:val="00AA65E1"/>
    <w:rsid w:val="00AA6CB2"/>
    <w:rsid w:val="00AA6D10"/>
    <w:rsid w:val="00AB76A9"/>
    <w:rsid w:val="00AC0AA9"/>
    <w:rsid w:val="00AC0FD4"/>
    <w:rsid w:val="00AC2C73"/>
    <w:rsid w:val="00AC373F"/>
    <w:rsid w:val="00AC5A35"/>
    <w:rsid w:val="00AC6081"/>
    <w:rsid w:val="00AD2E02"/>
    <w:rsid w:val="00AD385D"/>
    <w:rsid w:val="00AD6620"/>
    <w:rsid w:val="00AD7F1B"/>
    <w:rsid w:val="00AE1130"/>
    <w:rsid w:val="00AE122C"/>
    <w:rsid w:val="00AE43CC"/>
    <w:rsid w:val="00AF10DE"/>
    <w:rsid w:val="00AF22A9"/>
    <w:rsid w:val="00AF6667"/>
    <w:rsid w:val="00B04CDF"/>
    <w:rsid w:val="00B07331"/>
    <w:rsid w:val="00B10265"/>
    <w:rsid w:val="00B11412"/>
    <w:rsid w:val="00B11C84"/>
    <w:rsid w:val="00B1488A"/>
    <w:rsid w:val="00B15DA7"/>
    <w:rsid w:val="00B40A66"/>
    <w:rsid w:val="00B40AC2"/>
    <w:rsid w:val="00B56CC3"/>
    <w:rsid w:val="00B62A14"/>
    <w:rsid w:val="00B65D2D"/>
    <w:rsid w:val="00B65EB0"/>
    <w:rsid w:val="00B7565D"/>
    <w:rsid w:val="00B75CC1"/>
    <w:rsid w:val="00B8061C"/>
    <w:rsid w:val="00B810DD"/>
    <w:rsid w:val="00B876BA"/>
    <w:rsid w:val="00B90D72"/>
    <w:rsid w:val="00B927B2"/>
    <w:rsid w:val="00BA0F01"/>
    <w:rsid w:val="00BA2C7E"/>
    <w:rsid w:val="00BB0DBA"/>
    <w:rsid w:val="00BB1640"/>
    <w:rsid w:val="00BC0165"/>
    <w:rsid w:val="00BC291C"/>
    <w:rsid w:val="00BC36EA"/>
    <w:rsid w:val="00BC3A62"/>
    <w:rsid w:val="00BC5241"/>
    <w:rsid w:val="00BC7D99"/>
    <w:rsid w:val="00BD1AB4"/>
    <w:rsid w:val="00BD279E"/>
    <w:rsid w:val="00BF279B"/>
    <w:rsid w:val="00BF4775"/>
    <w:rsid w:val="00C00D0B"/>
    <w:rsid w:val="00C03C3F"/>
    <w:rsid w:val="00C212C8"/>
    <w:rsid w:val="00C24125"/>
    <w:rsid w:val="00C256AE"/>
    <w:rsid w:val="00C32CEF"/>
    <w:rsid w:val="00C33C5F"/>
    <w:rsid w:val="00C443AF"/>
    <w:rsid w:val="00C464B2"/>
    <w:rsid w:val="00C466EA"/>
    <w:rsid w:val="00C57FC7"/>
    <w:rsid w:val="00C6095B"/>
    <w:rsid w:val="00C618F3"/>
    <w:rsid w:val="00C6293E"/>
    <w:rsid w:val="00C7127E"/>
    <w:rsid w:val="00C71F28"/>
    <w:rsid w:val="00C7283A"/>
    <w:rsid w:val="00C73611"/>
    <w:rsid w:val="00C76B03"/>
    <w:rsid w:val="00C7751D"/>
    <w:rsid w:val="00C919E6"/>
    <w:rsid w:val="00C95D5D"/>
    <w:rsid w:val="00C96CF2"/>
    <w:rsid w:val="00CA69B0"/>
    <w:rsid w:val="00CA770B"/>
    <w:rsid w:val="00CB27F5"/>
    <w:rsid w:val="00CB4900"/>
    <w:rsid w:val="00CC0448"/>
    <w:rsid w:val="00CC1DB9"/>
    <w:rsid w:val="00CC3A7C"/>
    <w:rsid w:val="00CC505A"/>
    <w:rsid w:val="00CD0A13"/>
    <w:rsid w:val="00CD262A"/>
    <w:rsid w:val="00CD3048"/>
    <w:rsid w:val="00CE02FE"/>
    <w:rsid w:val="00CE6041"/>
    <w:rsid w:val="00CF09E5"/>
    <w:rsid w:val="00D00467"/>
    <w:rsid w:val="00D00C0C"/>
    <w:rsid w:val="00D10372"/>
    <w:rsid w:val="00D14864"/>
    <w:rsid w:val="00D2223D"/>
    <w:rsid w:val="00D324B5"/>
    <w:rsid w:val="00D32D10"/>
    <w:rsid w:val="00D33314"/>
    <w:rsid w:val="00D333B1"/>
    <w:rsid w:val="00D339FF"/>
    <w:rsid w:val="00D33B8E"/>
    <w:rsid w:val="00D41DC3"/>
    <w:rsid w:val="00D52971"/>
    <w:rsid w:val="00D62D25"/>
    <w:rsid w:val="00D675F7"/>
    <w:rsid w:val="00D72448"/>
    <w:rsid w:val="00D74296"/>
    <w:rsid w:val="00D756A3"/>
    <w:rsid w:val="00D83F33"/>
    <w:rsid w:val="00D902BF"/>
    <w:rsid w:val="00D926F4"/>
    <w:rsid w:val="00D9497F"/>
    <w:rsid w:val="00D97BF5"/>
    <w:rsid w:val="00DB0E29"/>
    <w:rsid w:val="00DC1B86"/>
    <w:rsid w:val="00DC5109"/>
    <w:rsid w:val="00DC5430"/>
    <w:rsid w:val="00DC5554"/>
    <w:rsid w:val="00DC5917"/>
    <w:rsid w:val="00DD187A"/>
    <w:rsid w:val="00DD7750"/>
    <w:rsid w:val="00DE0983"/>
    <w:rsid w:val="00DE0EAC"/>
    <w:rsid w:val="00DE6128"/>
    <w:rsid w:val="00DE62B5"/>
    <w:rsid w:val="00DF5A61"/>
    <w:rsid w:val="00DF70DD"/>
    <w:rsid w:val="00DF7C61"/>
    <w:rsid w:val="00E01283"/>
    <w:rsid w:val="00E10CFD"/>
    <w:rsid w:val="00E12C0F"/>
    <w:rsid w:val="00E22F0B"/>
    <w:rsid w:val="00E23160"/>
    <w:rsid w:val="00E37364"/>
    <w:rsid w:val="00E41CD6"/>
    <w:rsid w:val="00E438D3"/>
    <w:rsid w:val="00E47390"/>
    <w:rsid w:val="00E54C95"/>
    <w:rsid w:val="00E63AA1"/>
    <w:rsid w:val="00E63FC3"/>
    <w:rsid w:val="00E705C6"/>
    <w:rsid w:val="00E75573"/>
    <w:rsid w:val="00E75700"/>
    <w:rsid w:val="00E822DA"/>
    <w:rsid w:val="00E84850"/>
    <w:rsid w:val="00EA0CFD"/>
    <w:rsid w:val="00EA147F"/>
    <w:rsid w:val="00EB32FD"/>
    <w:rsid w:val="00EB5966"/>
    <w:rsid w:val="00EC5CD5"/>
    <w:rsid w:val="00ED49E8"/>
    <w:rsid w:val="00ED5976"/>
    <w:rsid w:val="00ED6D43"/>
    <w:rsid w:val="00EE0175"/>
    <w:rsid w:val="00EE1877"/>
    <w:rsid w:val="00EE525D"/>
    <w:rsid w:val="00EF26A6"/>
    <w:rsid w:val="00EF659F"/>
    <w:rsid w:val="00EF7E7F"/>
    <w:rsid w:val="00F075C4"/>
    <w:rsid w:val="00F10F04"/>
    <w:rsid w:val="00F11C3F"/>
    <w:rsid w:val="00F14C41"/>
    <w:rsid w:val="00F22B9F"/>
    <w:rsid w:val="00F274F1"/>
    <w:rsid w:val="00F33058"/>
    <w:rsid w:val="00F410E1"/>
    <w:rsid w:val="00F41A53"/>
    <w:rsid w:val="00F541B0"/>
    <w:rsid w:val="00F55DE8"/>
    <w:rsid w:val="00F56C1A"/>
    <w:rsid w:val="00F67FB7"/>
    <w:rsid w:val="00F735D9"/>
    <w:rsid w:val="00F739E2"/>
    <w:rsid w:val="00F741F9"/>
    <w:rsid w:val="00F763DA"/>
    <w:rsid w:val="00F83D33"/>
    <w:rsid w:val="00F91340"/>
    <w:rsid w:val="00F921E8"/>
    <w:rsid w:val="00F9565F"/>
    <w:rsid w:val="00F9754B"/>
    <w:rsid w:val="00FA185A"/>
    <w:rsid w:val="00FA5D16"/>
    <w:rsid w:val="00FB0FC4"/>
    <w:rsid w:val="00FB4850"/>
    <w:rsid w:val="00FC6157"/>
    <w:rsid w:val="00FC65CD"/>
    <w:rsid w:val="00FD7482"/>
    <w:rsid w:val="00FD777B"/>
    <w:rsid w:val="00FE038E"/>
    <w:rsid w:val="00FF2088"/>
    <w:rsid w:val="00FF2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E48C"/>
  <w15:docId w15:val="{A0EEAE37-2569-4B74-B60C-01973FF0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A69B0"/>
    <w:pPr>
      <w:keepNext/>
      <w:numPr>
        <w:numId w:val="19"/>
      </w:numPr>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odyText">
    <w:name w:val="Body Text"/>
    <w:basedOn w:val="Normal"/>
    <w:link w:val="BodyTextChar"/>
    <w:rsid w:val="00381CB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381CB1"/>
    <w:rPr>
      <w:rFonts w:ascii="Times New Roman" w:eastAsia="Times New Roman" w:hAnsi="Times New Roman" w:cs="Times New Roman"/>
      <w:b/>
      <w:bCs/>
      <w:sz w:val="28"/>
      <w:szCs w:val="24"/>
    </w:rPr>
  </w:style>
  <w:style w:type="character" w:styleId="CommentReference">
    <w:name w:val="annotation reference"/>
    <w:uiPriority w:val="99"/>
    <w:semiHidden/>
    <w:unhideWhenUsed/>
    <w:rsid w:val="006142FF"/>
    <w:rPr>
      <w:sz w:val="16"/>
      <w:szCs w:val="16"/>
    </w:rPr>
  </w:style>
  <w:style w:type="paragraph" w:styleId="CommentText">
    <w:name w:val="annotation text"/>
    <w:basedOn w:val="Normal"/>
    <w:link w:val="CommentTextChar"/>
    <w:uiPriority w:val="99"/>
    <w:semiHidden/>
    <w:unhideWhenUsed/>
    <w:rsid w:val="006142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42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FF"/>
    <w:rPr>
      <w:rFonts w:ascii="Tahoma" w:hAnsi="Tahoma" w:cs="Tahoma"/>
      <w:sz w:val="16"/>
      <w:szCs w:val="16"/>
    </w:rPr>
  </w:style>
  <w:style w:type="paragraph" w:styleId="BlockText">
    <w:name w:val="Block Text"/>
    <w:basedOn w:val="Normal"/>
    <w:semiHidden/>
    <w:rsid w:val="000F0DAC"/>
    <w:pPr>
      <w:spacing w:after="0" w:line="240" w:lineRule="auto"/>
      <w:ind w:left="-249" w:right="-108" w:firstLine="278"/>
      <w:jc w:val="both"/>
    </w:pPr>
    <w:rPr>
      <w:rFonts w:ascii="Times New Roman" w:eastAsia="Times New Roman" w:hAnsi="Times New Roman" w:cs="Times New Roman"/>
      <w:color w:val="FF0000"/>
      <w:sz w:val="24"/>
      <w:szCs w:val="20"/>
    </w:rPr>
  </w:style>
  <w:style w:type="paragraph" w:styleId="ListParagraph">
    <w:name w:val="List Paragraph"/>
    <w:basedOn w:val="Normal"/>
    <w:link w:val="ListParagraphChar"/>
    <w:uiPriority w:val="34"/>
    <w:qFormat/>
    <w:rsid w:val="00474E2E"/>
    <w:pPr>
      <w:ind w:left="720"/>
      <w:contextualSpacing/>
    </w:pPr>
    <w:rPr>
      <w:rFonts w:ascii="Times New Roman" w:hAnsi="Times New Roman"/>
      <w:sz w:val="24"/>
    </w:rPr>
  </w:style>
  <w:style w:type="character" w:customStyle="1" w:styleId="ListParagraphChar">
    <w:name w:val="List Paragraph Char"/>
    <w:link w:val="ListParagraph"/>
    <w:uiPriority w:val="34"/>
    <w:rsid w:val="00474E2E"/>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105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05D2"/>
    <w:rPr>
      <w:rFonts w:ascii="Times New Roman" w:eastAsia="Times New Roman" w:hAnsi="Times New Roman" w:cs="Times New Roman"/>
      <w:b/>
      <w:bCs/>
      <w:sz w:val="20"/>
      <w:szCs w:val="20"/>
    </w:rPr>
  </w:style>
  <w:style w:type="paragraph" w:customStyle="1" w:styleId="tv2132">
    <w:name w:val="tv2132"/>
    <w:basedOn w:val="Normal"/>
    <w:rsid w:val="0049414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94140"/>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Title">
    <w:name w:val="Title"/>
    <w:basedOn w:val="Normal"/>
    <w:next w:val="Normal"/>
    <w:link w:val="TitleChar"/>
    <w:qFormat/>
    <w:rsid w:val="00494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14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nhideWhenUsed/>
    <w:rsid w:val="00391FEB"/>
    <w:pPr>
      <w:spacing w:after="120"/>
      <w:ind w:left="283"/>
    </w:pPr>
  </w:style>
  <w:style w:type="character" w:customStyle="1" w:styleId="BodyTextIndentChar">
    <w:name w:val="Body Text Indent Char"/>
    <w:basedOn w:val="DefaultParagraphFont"/>
    <w:link w:val="BodyTextIndent"/>
    <w:rsid w:val="00391FEB"/>
  </w:style>
  <w:style w:type="paragraph" w:styleId="Revision">
    <w:name w:val="Revision"/>
    <w:hidden/>
    <w:uiPriority w:val="99"/>
    <w:semiHidden/>
    <w:rsid w:val="002A11D2"/>
    <w:pPr>
      <w:spacing w:after="0" w:line="240" w:lineRule="auto"/>
    </w:pPr>
  </w:style>
  <w:style w:type="character" w:customStyle="1" w:styleId="Heading1Char">
    <w:name w:val="Heading 1 Char"/>
    <w:basedOn w:val="DefaultParagraphFont"/>
    <w:link w:val="Heading1"/>
    <w:rsid w:val="00CA69B0"/>
    <w:rPr>
      <w:rFonts w:ascii="Times New Roman" w:eastAsia="Times New Roman" w:hAnsi="Times New Roman" w:cs="Times New Roman"/>
      <w:b/>
      <w:sz w:val="28"/>
      <w:szCs w:val="24"/>
    </w:rPr>
  </w:style>
  <w:style w:type="paragraph" w:styleId="NormalWeb">
    <w:name w:val="Normal (Web)"/>
    <w:basedOn w:val="Normal"/>
    <w:uiPriority w:val="99"/>
    <w:semiHidden/>
    <w:unhideWhenUsed/>
    <w:rsid w:val="003172D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178">
      <w:bodyDiv w:val="1"/>
      <w:marLeft w:val="0"/>
      <w:marRight w:val="0"/>
      <w:marTop w:val="0"/>
      <w:marBottom w:val="0"/>
      <w:divBdr>
        <w:top w:val="none" w:sz="0" w:space="0" w:color="auto"/>
        <w:left w:val="none" w:sz="0" w:space="0" w:color="auto"/>
        <w:bottom w:val="none" w:sz="0" w:space="0" w:color="auto"/>
        <w:right w:val="none" w:sz="0" w:space="0" w:color="auto"/>
      </w:divBdr>
      <w:divsChild>
        <w:div w:id="1937471319">
          <w:marLeft w:val="0"/>
          <w:marRight w:val="0"/>
          <w:marTop w:val="0"/>
          <w:marBottom w:val="0"/>
          <w:divBdr>
            <w:top w:val="none" w:sz="0" w:space="0" w:color="auto"/>
            <w:left w:val="none" w:sz="0" w:space="0" w:color="auto"/>
            <w:bottom w:val="none" w:sz="0" w:space="0" w:color="auto"/>
            <w:right w:val="none" w:sz="0" w:space="0" w:color="auto"/>
          </w:divBdr>
          <w:divsChild>
            <w:div w:id="2094741461">
              <w:marLeft w:val="0"/>
              <w:marRight w:val="0"/>
              <w:marTop w:val="0"/>
              <w:marBottom w:val="0"/>
              <w:divBdr>
                <w:top w:val="none" w:sz="0" w:space="0" w:color="auto"/>
                <w:left w:val="none" w:sz="0" w:space="0" w:color="auto"/>
                <w:bottom w:val="none" w:sz="0" w:space="0" w:color="auto"/>
                <w:right w:val="none" w:sz="0" w:space="0" w:color="auto"/>
              </w:divBdr>
              <w:divsChild>
                <w:div w:id="658465135">
                  <w:marLeft w:val="0"/>
                  <w:marRight w:val="0"/>
                  <w:marTop w:val="0"/>
                  <w:marBottom w:val="0"/>
                  <w:divBdr>
                    <w:top w:val="none" w:sz="0" w:space="0" w:color="auto"/>
                    <w:left w:val="none" w:sz="0" w:space="0" w:color="auto"/>
                    <w:bottom w:val="none" w:sz="0" w:space="0" w:color="auto"/>
                    <w:right w:val="none" w:sz="0" w:space="0" w:color="auto"/>
                  </w:divBdr>
                  <w:divsChild>
                    <w:div w:id="250627221">
                      <w:marLeft w:val="0"/>
                      <w:marRight w:val="0"/>
                      <w:marTop w:val="0"/>
                      <w:marBottom w:val="0"/>
                      <w:divBdr>
                        <w:top w:val="none" w:sz="0" w:space="0" w:color="auto"/>
                        <w:left w:val="none" w:sz="0" w:space="0" w:color="auto"/>
                        <w:bottom w:val="none" w:sz="0" w:space="0" w:color="auto"/>
                        <w:right w:val="none" w:sz="0" w:space="0" w:color="auto"/>
                      </w:divBdr>
                      <w:divsChild>
                        <w:div w:id="317074430">
                          <w:marLeft w:val="0"/>
                          <w:marRight w:val="0"/>
                          <w:marTop w:val="0"/>
                          <w:marBottom w:val="0"/>
                          <w:divBdr>
                            <w:top w:val="none" w:sz="0" w:space="0" w:color="auto"/>
                            <w:left w:val="none" w:sz="0" w:space="0" w:color="auto"/>
                            <w:bottom w:val="none" w:sz="0" w:space="0" w:color="auto"/>
                            <w:right w:val="none" w:sz="0" w:space="0" w:color="auto"/>
                          </w:divBdr>
                          <w:divsChild>
                            <w:div w:id="1962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9914">
      <w:bodyDiv w:val="1"/>
      <w:marLeft w:val="0"/>
      <w:marRight w:val="0"/>
      <w:marTop w:val="0"/>
      <w:marBottom w:val="0"/>
      <w:divBdr>
        <w:top w:val="none" w:sz="0" w:space="0" w:color="auto"/>
        <w:left w:val="none" w:sz="0" w:space="0" w:color="auto"/>
        <w:bottom w:val="none" w:sz="0" w:space="0" w:color="auto"/>
        <w:right w:val="none" w:sz="0" w:space="0" w:color="auto"/>
      </w:divBdr>
    </w:div>
    <w:div w:id="200484641">
      <w:bodyDiv w:val="1"/>
      <w:marLeft w:val="0"/>
      <w:marRight w:val="0"/>
      <w:marTop w:val="0"/>
      <w:marBottom w:val="0"/>
      <w:divBdr>
        <w:top w:val="none" w:sz="0" w:space="0" w:color="auto"/>
        <w:left w:val="none" w:sz="0" w:space="0" w:color="auto"/>
        <w:bottom w:val="none" w:sz="0" w:space="0" w:color="auto"/>
        <w:right w:val="none" w:sz="0" w:space="0" w:color="auto"/>
      </w:divBdr>
      <w:divsChild>
        <w:div w:id="402071007">
          <w:marLeft w:val="0"/>
          <w:marRight w:val="0"/>
          <w:marTop w:val="0"/>
          <w:marBottom w:val="0"/>
          <w:divBdr>
            <w:top w:val="none" w:sz="0" w:space="0" w:color="auto"/>
            <w:left w:val="none" w:sz="0" w:space="0" w:color="auto"/>
            <w:bottom w:val="none" w:sz="0" w:space="0" w:color="auto"/>
            <w:right w:val="none" w:sz="0" w:space="0" w:color="auto"/>
          </w:divBdr>
          <w:divsChild>
            <w:div w:id="1915044646">
              <w:marLeft w:val="0"/>
              <w:marRight w:val="0"/>
              <w:marTop w:val="0"/>
              <w:marBottom w:val="0"/>
              <w:divBdr>
                <w:top w:val="none" w:sz="0" w:space="0" w:color="auto"/>
                <w:left w:val="none" w:sz="0" w:space="0" w:color="auto"/>
                <w:bottom w:val="none" w:sz="0" w:space="0" w:color="auto"/>
                <w:right w:val="none" w:sz="0" w:space="0" w:color="auto"/>
              </w:divBdr>
              <w:divsChild>
                <w:div w:id="30303369">
                  <w:marLeft w:val="0"/>
                  <w:marRight w:val="0"/>
                  <w:marTop w:val="0"/>
                  <w:marBottom w:val="0"/>
                  <w:divBdr>
                    <w:top w:val="none" w:sz="0" w:space="0" w:color="auto"/>
                    <w:left w:val="none" w:sz="0" w:space="0" w:color="auto"/>
                    <w:bottom w:val="none" w:sz="0" w:space="0" w:color="auto"/>
                    <w:right w:val="none" w:sz="0" w:space="0" w:color="auto"/>
                  </w:divBdr>
                  <w:divsChild>
                    <w:div w:id="1996449622">
                      <w:marLeft w:val="0"/>
                      <w:marRight w:val="0"/>
                      <w:marTop w:val="0"/>
                      <w:marBottom w:val="0"/>
                      <w:divBdr>
                        <w:top w:val="none" w:sz="0" w:space="0" w:color="auto"/>
                        <w:left w:val="none" w:sz="0" w:space="0" w:color="auto"/>
                        <w:bottom w:val="none" w:sz="0" w:space="0" w:color="auto"/>
                        <w:right w:val="none" w:sz="0" w:space="0" w:color="auto"/>
                      </w:divBdr>
                      <w:divsChild>
                        <w:div w:id="730732695">
                          <w:marLeft w:val="0"/>
                          <w:marRight w:val="0"/>
                          <w:marTop w:val="0"/>
                          <w:marBottom w:val="0"/>
                          <w:divBdr>
                            <w:top w:val="none" w:sz="0" w:space="0" w:color="auto"/>
                            <w:left w:val="none" w:sz="0" w:space="0" w:color="auto"/>
                            <w:bottom w:val="none" w:sz="0" w:space="0" w:color="auto"/>
                            <w:right w:val="none" w:sz="0" w:space="0" w:color="auto"/>
                          </w:divBdr>
                          <w:divsChild>
                            <w:div w:id="13841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8083">
      <w:bodyDiv w:val="1"/>
      <w:marLeft w:val="0"/>
      <w:marRight w:val="0"/>
      <w:marTop w:val="0"/>
      <w:marBottom w:val="0"/>
      <w:divBdr>
        <w:top w:val="none" w:sz="0" w:space="0" w:color="auto"/>
        <w:left w:val="none" w:sz="0" w:space="0" w:color="auto"/>
        <w:bottom w:val="none" w:sz="0" w:space="0" w:color="auto"/>
        <w:right w:val="none" w:sz="0" w:space="0" w:color="auto"/>
      </w:divBdr>
      <w:divsChild>
        <w:div w:id="801313507">
          <w:marLeft w:val="0"/>
          <w:marRight w:val="0"/>
          <w:marTop w:val="0"/>
          <w:marBottom w:val="0"/>
          <w:divBdr>
            <w:top w:val="none" w:sz="0" w:space="0" w:color="auto"/>
            <w:left w:val="none" w:sz="0" w:space="0" w:color="auto"/>
            <w:bottom w:val="none" w:sz="0" w:space="0" w:color="auto"/>
            <w:right w:val="none" w:sz="0" w:space="0" w:color="auto"/>
          </w:divBdr>
          <w:divsChild>
            <w:div w:id="769399250">
              <w:marLeft w:val="0"/>
              <w:marRight w:val="0"/>
              <w:marTop w:val="0"/>
              <w:marBottom w:val="0"/>
              <w:divBdr>
                <w:top w:val="none" w:sz="0" w:space="0" w:color="auto"/>
                <w:left w:val="none" w:sz="0" w:space="0" w:color="auto"/>
                <w:bottom w:val="none" w:sz="0" w:space="0" w:color="auto"/>
                <w:right w:val="none" w:sz="0" w:space="0" w:color="auto"/>
              </w:divBdr>
              <w:divsChild>
                <w:div w:id="2125419740">
                  <w:marLeft w:val="0"/>
                  <w:marRight w:val="0"/>
                  <w:marTop w:val="0"/>
                  <w:marBottom w:val="0"/>
                  <w:divBdr>
                    <w:top w:val="none" w:sz="0" w:space="0" w:color="auto"/>
                    <w:left w:val="none" w:sz="0" w:space="0" w:color="auto"/>
                    <w:bottom w:val="none" w:sz="0" w:space="0" w:color="auto"/>
                    <w:right w:val="none" w:sz="0" w:space="0" w:color="auto"/>
                  </w:divBdr>
                  <w:divsChild>
                    <w:div w:id="1092967263">
                      <w:marLeft w:val="0"/>
                      <w:marRight w:val="0"/>
                      <w:marTop w:val="0"/>
                      <w:marBottom w:val="0"/>
                      <w:divBdr>
                        <w:top w:val="none" w:sz="0" w:space="0" w:color="auto"/>
                        <w:left w:val="none" w:sz="0" w:space="0" w:color="auto"/>
                        <w:bottom w:val="none" w:sz="0" w:space="0" w:color="auto"/>
                        <w:right w:val="none" w:sz="0" w:space="0" w:color="auto"/>
                      </w:divBdr>
                      <w:divsChild>
                        <w:div w:id="95367196">
                          <w:marLeft w:val="0"/>
                          <w:marRight w:val="0"/>
                          <w:marTop w:val="0"/>
                          <w:marBottom w:val="0"/>
                          <w:divBdr>
                            <w:top w:val="none" w:sz="0" w:space="0" w:color="auto"/>
                            <w:left w:val="none" w:sz="0" w:space="0" w:color="auto"/>
                            <w:bottom w:val="none" w:sz="0" w:space="0" w:color="auto"/>
                            <w:right w:val="none" w:sz="0" w:space="0" w:color="auto"/>
                          </w:divBdr>
                          <w:divsChild>
                            <w:div w:id="2017034211">
                              <w:marLeft w:val="0"/>
                              <w:marRight w:val="0"/>
                              <w:marTop w:val="0"/>
                              <w:marBottom w:val="0"/>
                              <w:divBdr>
                                <w:top w:val="none" w:sz="0" w:space="0" w:color="auto"/>
                                <w:left w:val="none" w:sz="0" w:space="0" w:color="auto"/>
                                <w:bottom w:val="none" w:sz="0" w:space="0" w:color="auto"/>
                                <w:right w:val="none" w:sz="0" w:space="0" w:color="auto"/>
                              </w:divBdr>
                              <w:divsChild>
                                <w:div w:id="1767923175">
                                  <w:marLeft w:val="0"/>
                                  <w:marRight w:val="0"/>
                                  <w:marTop w:val="0"/>
                                  <w:marBottom w:val="0"/>
                                  <w:divBdr>
                                    <w:top w:val="none" w:sz="0" w:space="0" w:color="auto"/>
                                    <w:left w:val="none" w:sz="0" w:space="0" w:color="auto"/>
                                    <w:bottom w:val="none" w:sz="0" w:space="0" w:color="auto"/>
                                    <w:right w:val="none" w:sz="0" w:space="0" w:color="auto"/>
                                  </w:divBdr>
                                </w:div>
                              </w:divsChild>
                            </w:div>
                            <w:div w:id="1419252265">
                              <w:marLeft w:val="0"/>
                              <w:marRight w:val="0"/>
                              <w:marTop w:val="0"/>
                              <w:marBottom w:val="0"/>
                              <w:divBdr>
                                <w:top w:val="none" w:sz="0" w:space="0" w:color="auto"/>
                                <w:left w:val="none" w:sz="0" w:space="0" w:color="auto"/>
                                <w:bottom w:val="none" w:sz="0" w:space="0" w:color="auto"/>
                                <w:right w:val="none" w:sz="0" w:space="0" w:color="auto"/>
                              </w:divBdr>
                              <w:divsChild>
                                <w:div w:id="1354649141">
                                  <w:marLeft w:val="0"/>
                                  <w:marRight w:val="0"/>
                                  <w:marTop w:val="0"/>
                                  <w:marBottom w:val="0"/>
                                  <w:divBdr>
                                    <w:top w:val="none" w:sz="0" w:space="0" w:color="auto"/>
                                    <w:left w:val="none" w:sz="0" w:space="0" w:color="auto"/>
                                    <w:bottom w:val="none" w:sz="0" w:space="0" w:color="auto"/>
                                    <w:right w:val="none" w:sz="0" w:space="0" w:color="auto"/>
                                  </w:divBdr>
                                </w:div>
                              </w:divsChild>
                            </w:div>
                            <w:div w:id="871957357">
                              <w:marLeft w:val="0"/>
                              <w:marRight w:val="0"/>
                              <w:marTop w:val="0"/>
                              <w:marBottom w:val="0"/>
                              <w:divBdr>
                                <w:top w:val="none" w:sz="0" w:space="0" w:color="auto"/>
                                <w:left w:val="none" w:sz="0" w:space="0" w:color="auto"/>
                                <w:bottom w:val="none" w:sz="0" w:space="0" w:color="auto"/>
                                <w:right w:val="none" w:sz="0" w:space="0" w:color="auto"/>
                              </w:divBdr>
                              <w:divsChild>
                                <w:div w:id="1244880313">
                                  <w:marLeft w:val="0"/>
                                  <w:marRight w:val="0"/>
                                  <w:marTop w:val="0"/>
                                  <w:marBottom w:val="0"/>
                                  <w:divBdr>
                                    <w:top w:val="none" w:sz="0" w:space="0" w:color="auto"/>
                                    <w:left w:val="none" w:sz="0" w:space="0" w:color="auto"/>
                                    <w:bottom w:val="none" w:sz="0" w:space="0" w:color="auto"/>
                                    <w:right w:val="none" w:sz="0" w:space="0" w:color="auto"/>
                                  </w:divBdr>
                                </w:div>
                              </w:divsChild>
                            </w:div>
                            <w:div w:id="8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60661">
      <w:bodyDiv w:val="1"/>
      <w:marLeft w:val="0"/>
      <w:marRight w:val="0"/>
      <w:marTop w:val="0"/>
      <w:marBottom w:val="0"/>
      <w:divBdr>
        <w:top w:val="none" w:sz="0" w:space="0" w:color="auto"/>
        <w:left w:val="none" w:sz="0" w:space="0" w:color="auto"/>
        <w:bottom w:val="none" w:sz="0" w:space="0" w:color="auto"/>
        <w:right w:val="none" w:sz="0" w:space="0" w:color="auto"/>
      </w:divBdr>
    </w:div>
    <w:div w:id="576522191">
      <w:bodyDiv w:val="1"/>
      <w:marLeft w:val="0"/>
      <w:marRight w:val="0"/>
      <w:marTop w:val="0"/>
      <w:marBottom w:val="0"/>
      <w:divBdr>
        <w:top w:val="none" w:sz="0" w:space="0" w:color="auto"/>
        <w:left w:val="none" w:sz="0" w:space="0" w:color="auto"/>
        <w:bottom w:val="none" w:sz="0" w:space="0" w:color="auto"/>
        <w:right w:val="none" w:sz="0" w:space="0" w:color="auto"/>
      </w:divBdr>
      <w:divsChild>
        <w:div w:id="1814564943">
          <w:marLeft w:val="0"/>
          <w:marRight w:val="0"/>
          <w:marTop w:val="0"/>
          <w:marBottom w:val="0"/>
          <w:divBdr>
            <w:top w:val="none" w:sz="0" w:space="0" w:color="auto"/>
            <w:left w:val="none" w:sz="0" w:space="0" w:color="auto"/>
            <w:bottom w:val="none" w:sz="0" w:space="0" w:color="auto"/>
            <w:right w:val="none" w:sz="0" w:space="0" w:color="auto"/>
          </w:divBdr>
          <w:divsChild>
            <w:div w:id="9529284">
              <w:marLeft w:val="0"/>
              <w:marRight w:val="0"/>
              <w:marTop w:val="0"/>
              <w:marBottom w:val="0"/>
              <w:divBdr>
                <w:top w:val="none" w:sz="0" w:space="0" w:color="auto"/>
                <w:left w:val="none" w:sz="0" w:space="0" w:color="auto"/>
                <w:bottom w:val="none" w:sz="0" w:space="0" w:color="auto"/>
                <w:right w:val="none" w:sz="0" w:space="0" w:color="auto"/>
              </w:divBdr>
              <w:divsChild>
                <w:div w:id="865680768">
                  <w:marLeft w:val="0"/>
                  <w:marRight w:val="0"/>
                  <w:marTop w:val="0"/>
                  <w:marBottom w:val="0"/>
                  <w:divBdr>
                    <w:top w:val="none" w:sz="0" w:space="0" w:color="auto"/>
                    <w:left w:val="none" w:sz="0" w:space="0" w:color="auto"/>
                    <w:bottom w:val="none" w:sz="0" w:space="0" w:color="auto"/>
                    <w:right w:val="none" w:sz="0" w:space="0" w:color="auto"/>
                  </w:divBdr>
                  <w:divsChild>
                    <w:div w:id="2074352810">
                      <w:marLeft w:val="0"/>
                      <w:marRight w:val="0"/>
                      <w:marTop w:val="0"/>
                      <w:marBottom w:val="0"/>
                      <w:divBdr>
                        <w:top w:val="none" w:sz="0" w:space="0" w:color="auto"/>
                        <w:left w:val="none" w:sz="0" w:space="0" w:color="auto"/>
                        <w:bottom w:val="none" w:sz="0" w:space="0" w:color="auto"/>
                        <w:right w:val="none" w:sz="0" w:space="0" w:color="auto"/>
                      </w:divBdr>
                      <w:divsChild>
                        <w:div w:id="430854966">
                          <w:marLeft w:val="0"/>
                          <w:marRight w:val="0"/>
                          <w:marTop w:val="0"/>
                          <w:marBottom w:val="0"/>
                          <w:divBdr>
                            <w:top w:val="none" w:sz="0" w:space="0" w:color="auto"/>
                            <w:left w:val="none" w:sz="0" w:space="0" w:color="auto"/>
                            <w:bottom w:val="none" w:sz="0" w:space="0" w:color="auto"/>
                            <w:right w:val="none" w:sz="0" w:space="0" w:color="auto"/>
                          </w:divBdr>
                          <w:divsChild>
                            <w:div w:id="20963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0894">
      <w:bodyDiv w:val="1"/>
      <w:marLeft w:val="0"/>
      <w:marRight w:val="0"/>
      <w:marTop w:val="0"/>
      <w:marBottom w:val="0"/>
      <w:divBdr>
        <w:top w:val="none" w:sz="0" w:space="0" w:color="auto"/>
        <w:left w:val="none" w:sz="0" w:space="0" w:color="auto"/>
        <w:bottom w:val="none" w:sz="0" w:space="0" w:color="auto"/>
        <w:right w:val="none" w:sz="0" w:space="0" w:color="auto"/>
      </w:divBdr>
      <w:divsChild>
        <w:div w:id="1844663199">
          <w:marLeft w:val="0"/>
          <w:marRight w:val="0"/>
          <w:marTop w:val="0"/>
          <w:marBottom w:val="0"/>
          <w:divBdr>
            <w:top w:val="none" w:sz="0" w:space="0" w:color="auto"/>
            <w:left w:val="none" w:sz="0" w:space="0" w:color="auto"/>
            <w:bottom w:val="none" w:sz="0" w:space="0" w:color="auto"/>
            <w:right w:val="none" w:sz="0" w:space="0" w:color="auto"/>
          </w:divBdr>
          <w:divsChild>
            <w:div w:id="1663581695">
              <w:marLeft w:val="0"/>
              <w:marRight w:val="0"/>
              <w:marTop w:val="0"/>
              <w:marBottom w:val="0"/>
              <w:divBdr>
                <w:top w:val="none" w:sz="0" w:space="0" w:color="auto"/>
                <w:left w:val="none" w:sz="0" w:space="0" w:color="auto"/>
                <w:bottom w:val="none" w:sz="0" w:space="0" w:color="auto"/>
                <w:right w:val="none" w:sz="0" w:space="0" w:color="auto"/>
              </w:divBdr>
              <w:divsChild>
                <w:div w:id="39674586">
                  <w:marLeft w:val="0"/>
                  <w:marRight w:val="0"/>
                  <w:marTop w:val="0"/>
                  <w:marBottom w:val="0"/>
                  <w:divBdr>
                    <w:top w:val="none" w:sz="0" w:space="0" w:color="auto"/>
                    <w:left w:val="none" w:sz="0" w:space="0" w:color="auto"/>
                    <w:bottom w:val="none" w:sz="0" w:space="0" w:color="auto"/>
                    <w:right w:val="none" w:sz="0" w:space="0" w:color="auto"/>
                  </w:divBdr>
                  <w:divsChild>
                    <w:div w:id="1826582125">
                      <w:marLeft w:val="0"/>
                      <w:marRight w:val="0"/>
                      <w:marTop w:val="0"/>
                      <w:marBottom w:val="0"/>
                      <w:divBdr>
                        <w:top w:val="none" w:sz="0" w:space="0" w:color="auto"/>
                        <w:left w:val="none" w:sz="0" w:space="0" w:color="auto"/>
                        <w:bottom w:val="none" w:sz="0" w:space="0" w:color="auto"/>
                        <w:right w:val="none" w:sz="0" w:space="0" w:color="auto"/>
                      </w:divBdr>
                      <w:divsChild>
                        <w:div w:id="752239227">
                          <w:marLeft w:val="0"/>
                          <w:marRight w:val="0"/>
                          <w:marTop w:val="0"/>
                          <w:marBottom w:val="0"/>
                          <w:divBdr>
                            <w:top w:val="none" w:sz="0" w:space="0" w:color="auto"/>
                            <w:left w:val="none" w:sz="0" w:space="0" w:color="auto"/>
                            <w:bottom w:val="none" w:sz="0" w:space="0" w:color="auto"/>
                            <w:right w:val="none" w:sz="0" w:space="0" w:color="auto"/>
                          </w:divBdr>
                          <w:divsChild>
                            <w:div w:id="1968972371">
                              <w:marLeft w:val="0"/>
                              <w:marRight w:val="0"/>
                              <w:marTop w:val="0"/>
                              <w:marBottom w:val="0"/>
                              <w:divBdr>
                                <w:top w:val="none" w:sz="0" w:space="0" w:color="auto"/>
                                <w:left w:val="none" w:sz="0" w:space="0" w:color="auto"/>
                                <w:bottom w:val="none" w:sz="0" w:space="0" w:color="auto"/>
                                <w:right w:val="none" w:sz="0" w:space="0" w:color="auto"/>
                              </w:divBdr>
                              <w:divsChild>
                                <w:div w:id="3696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52969">
      <w:bodyDiv w:val="1"/>
      <w:marLeft w:val="0"/>
      <w:marRight w:val="0"/>
      <w:marTop w:val="0"/>
      <w:marBottom w:val="0"/>
      <w:divBdr>
        <w:top w:val="none" w:sz="0" w:space="0" w:color="auto"/>
        <w:left w:val="none" w:sz="0" w:space="0" w:color="auto"/>
        <w:bottom w:val="none" w:sz="0" w:space="0" w:color="auto"/>
        <w:right w:val="none" w:sz="0" w:space="0" w:color="auto"/>
      </w:divBdr>
      <w:divsChild>
        <w:div w:id="168184141">
          <w:marLeft w:val="0"/>
          <w:marRight w:val="0"/>
          <w:marTop w:val="0"/>
          <w:marBottom w:val="0"/>
          <w:divBdr>
            <w:top w:val="none" w:sz="0" w:space="0" w:color="auto"/>
            <w:left w:val="none" w:sz="0" w:space="0" w:color="auto"/>
            <w:bottom w:val="none" w:sz="0" w:space="0" w:color="auto"/>
            <w:right w:val="none" w:sz="0" w:space="0" w:color="auto"/>
          </w:divBdr>
          <w:divsChild>
            <w:div w:id="2108689275">
              <w:marLeft w:val="0"/>
              <w:marRight w:val="0"/>
              <w:marTop w:val="0"/>
              <w:marBottom w:val="0"/>
              <w:divBdr>
                <w:top w:val="none" w:sz="0" w:space="0" w:color="auto"/>
                <w:left w:val="none" w:sz="0" w:space="0" w:color="auto"/>
                <w:bottom w:val="none" w:sz="0" w:space="0" w:color="auto"/>
                <w:right w:val="none" w:sz="0" w:space="0" w:color="auto"/>
              </w:divBdr>
              <w:divsChild>
                <w:div w:id="1378507302">
                  <w:marLeft w:val="0"/>
                  <w:marRight w:val="0"/>
                  <w:marTop w:val="0"/>
                  <w:marBottom w:val="0"/>
                  <w:divBdr>
                    <w:top w:val="none" w:sz="0" w:space="0" w:color="auto"/>
                    <w:left w:val="none" w:sz="0" w:space="0" w:color="auto"/>
                    <w:bottom w:val="none" w:sz="0" w:space="0" w:color="auto"/>
                    <w:right w:val="none" w:sz="0" w:space="0" w:color="auto"/>
                  </w:divBdr>
                  <w:divsChild>
                    <w:div w:id="576138529">
                      <w:marLeft w:val="0"/>
                      <w:marRight w:val="0"/>
                      <w:marTop w:val="0"/>
                      <w:marBottom w:val="0"/>
                      <w:divBdr>
                        <w:top w:val="none" w:sz="0" w:space="0" w:color="auto"/>
                        <w:left w:val="none" w:sz="0" w:space="0" w:color="auto"/>
                        <w:bottom w:val="none" w:sz="0" w:space="0" w:color="auto"/>
                        <w:right w:val="none" w:sz="0" w:space="0" w:color="auto"/>
                      </w:divBdr>
                      <w:divsChild>
                        <w:div w:id="998465723">
                          <w:marLeft w:val="0"/>
                          <w:marRight w:val="0"/>
                          <w:marTop w:val="0"/>
                          <w:marBottom w:val="0"/>
                          <w:divBdr>
                            <w:top w:val="none" w:sz="0" w:space="0" w:color="auto"/>
                            <w:left w:val="none" w:sz="0" w:space="0" w:color="auto"/>
                            <w:bottom w:val="none" w:sz="0" w:space="0" w:color="auto"/>
                            <w:right w:val="none" w:sz="0" w:space="0" w:color="auto"/>
                          </w:divBdr>
                          <w:divsChild>
                            <w:div w:id="12947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4172">
      <w:bodyDiv w:val="1"/>
      <w:marLeft w:val="0"/>
      <w:marRight w:val="0"/>
      <w:marTop w:val="0"/>
      <w:marBottom w:val="0"/>
      <w:divBdr>
        <w:top w:val="none" w:sz="0" w:space="0" w:color="auto"/>
        <w:left w:val="none" w:sz="0" w:space="0" w:color="auto"/>
        <w:bottom w:val="none" w:sz="0" w:space="0" w:color="auto"/>
        <w:right w:val="none" w:sz="0" w:space="0" w:color="auto"/>
      </w:divBdr>
      <w:divsChild>
        <w:div w:id="1107966794">
          <w:marLeft w:val="0"/>
          <w:marRight w:val="0"/>
          <w:marTop w:val="0"/>
          <w:marBottom w:val="0"/>
          <w:divBdr>
            <w:top w:val="none" w:sz="0" w:space="0" w:color="auto"/>
            <w:left w:val="none" w:sz="0" w:space="0" w:color="auto"/>
            <w:bottom w:val="none" w:sz="0" w:space="0" w:color="auto"/>
            <w:right w:val="none" w:sz="0" w:space="0" w:color="auto"/>
          </w:divBdr>
          <w:divsChild>
            <w:div w:id="1682733630">
              <w:marLeft w:val="0"/>
              <w:marRight w:val="0"/>
              <w:marTop w:val="0"/>
              <w:marBottom w:val="0"/>
              <w:divBdr>
                <w:top w:val="none" w:sz="0" w:space="0" w:color="auto"/>
                <w:left w:val="none" w:sz="0" w:space="0" w:color="auto"/>
                <w:bottom w:val="none" w:sz="0" w:space="0" w:color="auto"/>
                <w:right w:val="none" w:sz="0" w:space="0" w:color="auto"/>
              </w:divBdr>
              <w:divsChild>
                <w:div w:id="1717460631">
                  <w:marLeft w:val="0"/>
                  <w:marRight w:val="0"/>
                  <w:marTop w:val="0"/>
                  <w:marBottom w:val="0"/>
                  <w:divBdr>
                    <w:top w:val="none" w:sz="0" w:space="0" w:color="auto"/>
                    <w:left w:val="none" w:sz="0" w:space="0" w:color="auto"/>
                    <w:bottom w:val="none" w:sz="0" w:space="0" w:color="auto"/>
                    <w:right w:val="none" w:sz="0" w:space="0" w:color="auto"/>
                  </w:divBdr>
                  <w:divsChild>
                    <w:div w:id="1187599141">
                      <w:marLeft w:val="0"/>
                      <w:marRight w:val="0"/>
                      <w:marTop w:val="0"/>
                      <w:marBottom w:val="0"/>
                      <w:divBdr>
                        <w:top w:val="none" w:sz="0" w:space="0" w:color="auto"/>
                        <w:left w:val="none" w:sz="0" w:space="0" w:color="auto"/>
                        <w:bottom w:val="none" w:sz="0" w:space="0" w:color="auto"/>
                        <w:right w:val="none" w:sz="0" w:space="0" w:color="auto"/>
                      </w:divBdr>
                      <w:divsChild>
                        <w:div w:id="1122966813">
                          <w:marLeft w:val="0"/>
                          <w:marRight w:val="0"/>
                          <w:marTop w:val="0"/>
                          <w:marBottom w:val="0"/>
                          <w:divBdr>
                            <w:top w:val="none" w:sz="0" w:space="0" w:color="auto"/>
                            <w:left w:val="none" w:sz="0" w:space="0" w:color="auto"/>
                            <w:bottom w:val="none" w:sz="0" w:space="0" w:color="auto"/>
                            <w:right w:val="none" w:sz="0" w:space="0" w:color="auto"/>
                          </w:divBdr>
                          <w:divsChild>
                            <w:div w:id="1378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52632">
      <w:bodyDiv w:val="1"/>
      <w:marLeft w:val="0"/>
      <w:marRight w:val="0"/>
      <w:marTop w:val="0"/>
      <w:marBottom w:val="0"/>
      <w:divBdr>
        <w:top w:val="none" w:sz="0" w:space="0" w:color="auto"/>
        <w:left w:val="none" w:sz="0" w:space="0" w:color="auto"/>
        <w:bottom w:val="none" w:sz="0" w:space="0" w:color="auto"/>
        <w:right w:val="none" w:sz="0" w:space="0" w:color="auto"/>
      </w:divBdr>
    </w:div>
    <w:div w:id="972296636">
      <w:bodyDiv w:val="1"/>
      <w:marLeft w:val="0"/>
      <w:marRight w:val="0"/>
      <w:marTop w:val="0"/>
      <w:marBottom w:val="0"/>
      <w:divBdr>
        <w:top w:val="none" w:sz="0" w:space="0" w:color="auto"/>
        <w:left w:val="none" w:sz="0" w:space="0" w:color="auto"/>
        <w:bottom w:val="none" w:sz="0" w:space="0" w:color="auto"/>
        <w:right w:val="none" w:sz="0" w:space="0" w:color="auto"/>
      </w:divBdr>
      <w:divsChild>
        <w:div w:id="997423941">
          <w:marLeft w:val="0"/>
          <w:marRight w:val="0"/>
          <w:marTop w:val="0"/>
          <w:marBottom w:val="0"/>
          <w:divBdr>
            <w:top w:val="none" w:sz="0" w:space="0" w:color="auto"/>
            <w:left w:val="none" w:sz="0" w:space="0" w:color="auto"/>
            <w:bottom w:val="none" w:sz="0" w:space="0" w:color="auto"/>
            <w:right w:val="none" w:sz="0" w:space="0" w:color="auto"/>
          </w:divBdr>
          <w:divsChild>
            <w:div w:id="1176773759">
              <w:marLeft w:val="0"/>
              <w:marRight w:val="0"/>
              <w:marTop w:val="0"/>
              <w:marBottom w:val="0"/>
              <w:divBdr>
                <w:top w:val="none" w:sz="0" w:space="0" w:color="auto"/>
                <w:left w:val="none" w:sz="0" w:space="0" w:color="auto"/>
                <w:bottom w:val="none" w:sz="0" w:space="0" w:color="auto"/>
                <w:right w:val="none" w:sz="0" w:space="0" w:color="auto"/>
              </w:divBdr>
              <w:divsChild>
                <w:div w:id="243994517">
                  <w:marLeft w:val="0"/>
                  <w:marRight w:val="0"/>
                  <w:marTop w:val="0"/>
                  <w:marBottom w:val="0"/>
                  <w:divBdr>
                    <w:top w:val="none" w:sz="0" w:space="0" w:color="auto"/>
                    <w:left w:val="none" w:sz="0" w:space="0" w:color="auto"/>
                    <w:bottom w:val="none" w:sz="0" w:space="0" w:color="auto"/>
                    <w:right w:val="none" w:sz="0" w:space="0" w:color="auto"/>
                  </w:divBdr>
                  <w:divsChild>
                    <w:div w:id="1892423448">
                      <w:marLeft w:val="0"/>
                      <w:marRight w:val="0"/>
                      <w:marTop w:val="0"/>
                      <w:marBottom w:val="0"/>
                      <w:divBdr>
                        <w:top w:val="none" w:sz="0" w:space="0" w:color="auto"/>
                        <w:left w:val="none" w:sz="0" w:space="0" w:color="auto"/>
                        <w:bottom w:val="none" w:sz="0" w:space="0" w:color="auto"/>
                        <w:right w:val="none" w:sz="0" w:space="0" w:color="auto"/>
                      </w:divBdr>
                      <w:divsChild>
                        <w:div w:id="1722249198">
                          <w:marLeft w:val="0"/>
                          <w:marRight w:val="0"/>
                          <w:marTop w:val="0"/>
                          <w:marBottom w:val="0"/>
                          <w:divBdr>
                            <w:top w:val="none" w:sz="0" w:space="0" w:color="auto"/>
                            <w:left w:val="none" w:sz="0" w:space="0" w:color="auto"/>
                            <w:bottom w:val="none" w:sz="0" w:space="0" w:color="auto"/>
                            <w:right w:val="none" w:sz="0" w:space="0" w:color="auto"/>
                          </w:divBdr>
                          <w:divsChild>
                            <w:div w:id="465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1312">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194877258">
      <w:bodyDiv w:val="1"/>
      <w:marLeft w:val="0"/>
      <w:marRight w:val="0"/>
      <w:marTop w:val="0"/>
      <w:marBottom w:val="0"/>
      <w:divBdr>
        <w:top w:val="none" w:sz="0" w:space="0" w:color="auto"/>
        <w:left w:val="none" w:sz="0" w:space="0" w:color="auto"/>
        <w:bottom w:val="none" w:sz="0" w:space="0" w:color="auto"/>
        <w:right w:val="none" w:sz="0" w:space="0" w:color="auto"/>
      </w:divBdr>
      <w:divsChild>
        <w:div w:id="241183902">
          <w:marLeft w:val="0"/>
          <w:marRight w:val="0"/>
          <w:marTop w:val="0"/>
          <w:marBottom w:val="0"/>
          <w:divBdr>
            <w:top w:val="none" w:sz="0" w:space="0" w:color="auto"/>
            <w:left w:val="none" w:sz="0" w:space="0" w:color="auto"/>
            <w:bottom w:val="none" w:sz="0" w:space="0" w:color="auto"/>
            <w:right w:val="none" w:sz="0" w:space="0" w:color="auto"/>
          </w:divBdr>
          <w:divsChild>
            <w:div w:id="2063479912">
              <w:marLeft w:val="0"/>
              <w:marRight w:val="0"/>
              <w:marTop w:val="0"/>
              <w:marBottom w:val="0"/>
              <w:divBdr>
                <w:top w:val="none" w:sz="0" w:space="0" w:color="auto"/>
                <w:left w:val="none" w:sz="0" w:space="0" w:color="auto"/>
                <w:bottom w:val="none" w:sz="0" w:space="0" w:color="auto"/>
                <w:right w:val="none" w:sz="0" w:space="0" w:color="auto"/>
              </w:divBdr>
              <w:divsChild>
                <w:div w:id="1527713055">
                  <w:marLeft w:val="0"/>
                  <w:marRight w:val="0"/>
                  <w:marTop w:val="0"/>
                  <w:marBottom w:val="0"/>
                  <w:divBdr>
                    <w:top w:val="none" w:sz="0" w:space="0" w:color="auto"/>
                    <w:left w:val="none" w:sz="0" w:space="0" w:color="auto"/>
                    <w:bottom w:val="none" w:sz="0" w:space="0" w:color="auto"/>
                    <w:right w:val="none" w:sz="0" w:space="0" w:color="auto"/>
                  </w:divBdr>
                  <w:divsChild>
                    <w:div w:id="220290564">
                      <w:marLeft w:val="0"/>
                      <w:marRight w:val="0"/>
                      <w:marTop w:val="0"/>
                      <w:marBottom w:val="0"/>
                      <w:divBdr>
                        <w:top w:val="none" w:sz="0" w:space="0" w:color="auto"/>
                        <w:left w:val="none" w:sz="0" w:space="0" w:color="auto"/>
                        <w:bottom w:val="none" w:sz="0" w:space="0" w:color="auto"/>
                        <w:right w:val="none" w:sz="0" w:space="0" w:color="auto"/>
                      </w:divBdr>
                      <w:divsChild>
                        <w:div w:id="773937643">
                          <w:marLeft w:val="0"/>
                          <w:marRight w:val="0"/>
                          <w:marTop w:val="0"/>
                          <w:marBottom w:val="0"/>
                          <w:divBdr>
                            <w:top w:val="none" w:sz="0" w:space="0" w:color="auto"/>
                            <w:left w:val="none" w:sz="0" w:space="0" w:color="auto"/>
                            <w:bottom w:val="none" w:sz="0" w:space="0" w:color="auto"/>
                            <w:right w:val="none" w:sz="0" w:space="0" w:color="auto"/>
                          </w:divBdr>
                          <w:divsChild>
                            <w:div w:id="1876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92505">
      <w:bodyDiv w:val="1"/>
      <w:marLeft w:val="0"/>
      <w:marRight w:val="0"/>
      <w:marTop w:val="0"/>
      <w:marBottom w:val="0"/>
      <w:divBdr>
        <w:top w:val="none" w:sz="0" w:space="0" w:color="auto"/>
        <w:left w:val="none" w:sz="0" w:space="0" w:color="auto"/>
        <w:bottom w:val="none" w:sz="0" w:space="0" w:color="auto"/>
        <w:right w:val="none" w:sz="0" w:space="0" w:color="auto"/>
      </w:divBdr>
      <w:divsChild>
        <w:div w:id="1227031731">
          <w:marLeft w:val="0"/>
          <w:marRight w:val="0"/>
          <w:marTop w:val="0"/>
          <w:marBottom w:val="0"/>
          <w:divBdr>
            <w:top w:val="none" w:sz="0" w:space="0" w:color="auto"/>
            <w:left w:val="none" w:sz="0" w:space="0" w:color="auto"/>
            <w:bottom w:val="none" w:sz="0" w:space="0" w:color="auto"/>
            <w:right w:val="none" w:sz="0" w:space="0" w:color="auto"/>
          </w:divBdr>
          <w:divsChild>
            <w:div w:id="1658342631">
              <w:marLeft w:val="0"/>
              <w:marRight w:val="0"/>
              <w:marTop w:val="0"/>
              <w:marBottom w:val="0"/>
              <w:divBdr>
                <w:top w:val="none" w:sz="0" w:space="0" w:color="auto"/>
                <w:left w:val="none" w:sz="0" w:space="0" w:color="auto"/>
                <w:bottom w:val="none" w:sz="0" w:space="0" w:color="auto"/>
                <w:right w:val="none" w:sz="0" w:space="0" w:color="auto"/>
              </w:divBdr>
              <w:divsChild>
                <w:div w:id="518783592">
                  <w:marLeft w:val="0"/>
                  <w:marRight w:val="0"/>
                  <w:marTop w:val="0"/>
                  <w:marBottom w:val="0"/>
                  <w:divBdr>
                    <w:top w:val="none" w:sz="0" w:space="0" w:color="auto"/>
                    <w:left w:val="none" w:sz="0" w:space="0" w:color="auto"/>
                    <w:bottom w:val="none" w:sz="0" w:space="0" w:color="auto"/>
                    <w:right w:val="none" w:sz="0" w:space="0" w:color="auto"/>
                  </w:divBdr>
                  <w:divsChild>
                    <w:div w:id="1438864758">
                      <w:marLeft w:val="0"/>
                      <w:marRight w:val="0"/>
                      <w:marTop w:val="0"/>
                      <w:marBottom w:val="0"/>
                      <w:divBdr>
                        <w:top w:val="none" w:sz="0" w:space="0" w:color="auto"/>
                        <w:left w:val="none" w:sz="0" w:space="0" w:color="auto"/>
                        <w:bottom w:val="none" w:sz="0" w:space="0" w:color="auto"/>
                        <w:right w:val="none" w:sz="0" w:space="0" w:color="auto"/>
                      </w:divBdr>
                      <w:divsChild>
                        <w:div w:id="1512069124">
                          <w:marLeft w:val="0"/>
                          <w:marRight w:val="0"/>
                          <w:marTop w:val="0"/>
                          <w:marBottom w:val="0"/>
                          <w:divBdr>
                            <w:top w:val="none" w:sz="0" w:space="0" w:color="auto"/>
                            <w:left w:val="none" w:sz="0" w:space="0" w:color="auto"/>
                            <w:bottom w:val="none" w:sz="0" w:space="0" w:color="auto"/>
                            <w:right w:val="none" w:sz="0" w:space="0" w:color="auto"/>
                          </w:divBdr>
                          <w:divsChild>
                            <w:div w:id="17073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7332">
      <w:bodyDiv w:val="1"/>
      <w:marLeft w:val="0"/>
      <w:marRight w:val="0"/>
      <w:marTop w:val="0"/>
      <w:marBottom w:val="0"/>
      <w:divBdr>
        <w:top w:val="none" w:sz="0" w:space="0" w:color="auto"/>
        <w:left w:val="none" w:sz="0" w:space="0" w:color="auto"/>
        <w:bottom w:val="none" w:sz="0" w:space="0" w:color="auto"/>
        <w:right w:val="none" w:sz="0" w:space="0" w:color="auto"/>
      </w:divBdr>
      <w:divsChild>
        <w:div w:id="1340545481">
          <w:marLeft w:val="0"/>
          <w:marRight w:val="0"/>
          <w:marTop w:val="0"/>
          <w:marBottom w:val="0"/>
          <w:divBdr>
            <w:top w:val="none" w:sz="0" w:space="0" w:color="auto"/>
            <w:left w:val="none" w:sz="0" w:space="0" w:color="auto"/>
            <w:bottom w:val="none" w:sz="0" w:space="0" w:color="auto"/>
            <w:right w:val="none" w:sz="0" w:space="0" w:color="auto"/>
          </w:divBdr>
          <w:divsChild>
            <w:div w:id="1342077742">
              <w:marLeft w:val="0"/>
              <w:marRight w:val="0"/>
              <w:marTop w:val="0"/>
              <w:marBottom w:val="0"/>
              <w:divBdr>
                <w:top w:val="none" w:sz="0" w:space="0" w:color="auto"/>
                <w:left w:val="none" w:sz="0" w:space="0" w:color="auto"/>
                <w:bottom w:val="none" w:sz="0" w:space="0" w:color="auto"/>
                <w:right w:val="none" w:sz="0" w:space="0" w:color="auto"/>
              </w:divBdr>
              <w:divsChild>
                <w:div w:id="103422683">
                  <w:marLeft w:val="0"/>
                  <w:marRight w:val="0"/>
                  <w:marTop w:val="0"/>
                  <w:marBottom w:val="0"/>
                  <w:divBdr>
                    <w:top w:val="none" w:sz="0" w:space="0" w:color="auto"/>
                    <w:left w:val="none" w:sz="0" w:space="0" w:color="auto"/>
                    <w:bottom w:val="none" w:sz="0" w:space="0" w:color="auto"/>
                    <w:right w:val="none" w:sz="0" w:space="0" w:color="auto"/>
                  </w:divBdr>
                  <w:divsChild>
                    <w:div w:id="1035614422">
                      <w:marLeft w:val="0"/>
                      <w:marRight w:val="0"/>
                      <w:marTop w:val="0"/>
                      <w:marBottom w:val="0"/>
                      <w:divBdr>
                        <w:top w:val="none" w:sz="0" w:space="0" w:color="auto"/>
                        <w:left w:val="none" w:sz="0" w:space="0" w:color="auto"/>
                        <w:bottom w:val="none" w:sz="0" w:space="0" w:color="auto"/>
                        <w:right w:val="none" w:sz="0" w:space="0" w:color="auto"/>
                      </w:divBdr>
                      <w:divsChild>
                        <w:div w:id="2076194399">
                          <w:marLeft w:val="0"/>
                          <w:marRight w:val="0"/>
                          <w:marTop w:val="0"/>
                          <w:marBottom w:val="0"/>
                          <w:divBdr>
                            <w:top w:val="none" w:sz="0" w:space="0" w:color="auto"/>
                            <w:left w:val="none" w:sz="0" w:space="0" w:color="auto"/>
                            <w:bottom w:val="none" w:sz="0" w:space="0" w:color="auto"/>
                            <w:right w:val="none" w:sz="0" w:space="0" w:color="auto"/>
                          </w:divBdr>
                          <w:divsChild>
                            <w:div w:id="1946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93545">
      <w:bodyDiv w:val="1"/>
      <w:marLeft w:val="0"/>
      <w:marRight w:val="0"/>
      <w:marTop w:val="0"/>
      <w:marBottom w:val="0"/>
      <w:divBdr>
        <w:top w:val="none" w:sz="0" w:space="0" w:color="auto"/>
        <w:left w:val="none" w:sz="0" w:space="0" w:color="auto"/>
        <w:bottom w:val="none" w:sz="0" w:space="0" w:color="auto"/>
        <w:right w:val="none" w:sz="0" w:space="0" w:color="auto"/>
      </w:divBdr>
    </w:div>
    <w:div w:id="1595434286">
      <w:bodyDiv w:val="1"/>
      <w:marLeft w:val="0"/>
      <w:marRight w:val="0"/>
      <w:marTop w:val="0"/>
      <w:marBottom w:val="0"/>
      <w:divBdr>
        <w:top w:val="none" w:sz="0" w:space="0" w:color="auto"/>
        <w:left w:val="none" w:sz="0" w:space="0" w:color="auto"/>
        <w:bottom w:val="none" w:sz="0" w:space="0" w:color="auto"/>
        <w:right w:val="none" w:sz="0" w:space="0" w:color="auto"/>
      </w:divBdr>
      <w:divsChild>
        <w:div w:id="1620719579">
          <w:marLeft w:val="274"/>
          <w:marRight w:val="0"/>
          <w:marTop w:val="0"/>
          <w:marBottom w:val="0"/>
          <w:divBdr>
            <w:top w:val="none" w:sz="0" w:space="0" w:color="auto"/>
            <w:left w:val="none" w:sz="0" w:space="0" w:color="auto"/>
            <w:bottom w:val="none" w:sz="0" w:space="0" w:color="auto"/>
            <w:right w:val="none" w:sz="0" w:space="0" w:color="auto"/>
          </w:divBdr>
        </w:div>
      </w:divsChild>
    </w:div>
    <w:div w:id="1792900624">
      <w:bodyDiv w:val="1"/>
      <w:marLeft w:val="0"/>
      <w:marRight w:val="0"/>
      <w:marTop w:val="0"/>
      <w:marBottom w:val="0"/>
      <w:divBdr>
        <w:top w:val="none" w:sz="0" w:space="0" w:color="auto"/>
        <w:left w:val="none" w:sz="0" w:space="0" w:color="auto"/>
        <w:bottom w:val="none" w:sz="0" w:space="0" w:color="auto"/>
        <w:right w:val="none" w:sz="0" w:space="0" w:color="auto"/>
      </w:divBdr>
      <w:divsChild>
        <w:div w:id="981542040">
          <w:marLeft w:val="0"/>
          <w:marRight w:val="0"/>
          <w:marTop w:val="0"/>
          <w:marBottom w:val="0"/>
          <w:divBdr>
            <w:top w:val="none" w:sz="0" w:space="0" w:color="auto"/>
            <w:left w:val="none" w:sz="0" w:space="0" w:color="auto"/>
            <w:bottom w:val="none" w:sz="0" w:space="0" w:color="auto"/>
            <w:right w:val="none" w:sz="0" w:space="0" w:color="auto"/>
          </w:divBdr>
          <w:divsChild>
            <w:div w:id="587615059">
              <w:marLeft w:val="0"/>
              <w:marRight w:val="0"/>
              <w:marTop w:val="0"/>
              <w:marBottom w:val="0"/>
              <w:divBdr>
                <w:top w:val="none" w:sz="0" w:space="0" w:color="auto"/>
                <w:left w:val="none" w:sz="0" w:space="0" w:color="auto"/>
                <w:bottom w:val="none" w:sz="0" w:space="0" w:color="auto"/>
                <w:right w:val="none" w:sz="0" w:space="0" w:color="auto"/>
              </w:divBdr>
              <w:divsChild>
                <w:div w:id="241379919">
                  <w:marLeft w:val="0"/>
                  <w:marRight w:val="0"/>
                  <w:marTop w:val="0"/>
                  <w:marBottom w:val="0"/>
                  <w:divBdr>
                    <w:top w:val="none" w:sz="0" w:space="0" w:color="auto"/>
                    <w:left w:val="none" w:sz="0" w:space="0" w:color="auto"/>
                    <w:bottom w:val="none" w:sz="0" w:space="0" w:color="auto"/>
                    <w:right w:val="none" w:sz="0" w:space="0" w:color="auto"/>
                  </w:divBdr>
                  <w:divsChild>
                    <w:div w:id="1144813717">
                      <w:marLeft w:val="0"/>
                      <w:marRight w:val="0"/>
                      <w:marTop w:val="0"/>
                      <w:marBottom w:val="0"/>
                      <w:divBdr>
                        <w:top w:val="none" w:sz="0" w:space="0" w:color="auto"/>
                        <w:left w:val="none" w:sz="0" w:space="0" w:color="auto"/>
                        <w:bottom w:val="none" w:sz="0" w:space="0" w:color="auto"/>
                        <w:right w:val="none" w:sz="0" w:space="0" w:color="auto"/>
                      </w:divBdr>
                      <w:divsChild>
                        <w:div w:id="214393971">
                          <w:marLeft w:val="0"/>
                          <w:marRight w:val="0"/>
                          <w:marTop w:val="0"/>
                          <w:marBottom w:val="0"/>
                          <w:divBdr>
                            <w:top w:val="none" w:sz="0" w:space="0" w:color="auto"/>
                            <w:left w:val="none" w:sz="0" w:space="0" w:color="auto"/>
                            <w:bottom w:val="none" w:sz="0" w:space="0" w:color="auto"/>
                            <w:right w:val="none" w:sz="0" w:space="0" w:color="auto"/>
                          </w:divBdr>
                          <w:divsChild>
                            <w:div w:id="4053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999737">
      <w:bodyDiv w:val="1"/>
      <w:marLeft w:val="0"/>
      <w:marRight w:val="0"/>
      <w:marTop w:val="0"/>
      <w:marBottom w:val="0"/>
      <w:divBdr>
        <w:top w:val="none" w:sz="0" w:space="0" w:color="auto"/>
        <w:left w:val="none" w:sz="0" w:space="0" w:color="auto"/>
        <w:bottom w:val="none" w:sz="0" w:space="0" w:color="auto"/>
        <w:right w:val="none" w:sz="0" w:space="0" w:color="auto"/>
      </w:divBdr>
      <w:divsChild>
        <w:div w:id="529296275">
          <w:marLeft w:val="0"/>
          <w:marRight w:val="0"/>
          <w:marTop w:val="0"/>
          <w:marBottom w:val="0"/>
          <w:divBdr>
            <w:top w:val="none" w:sz="0" w:space="0" w:color="auto"/>
            <w:left w:val="none" w:sz="0" w:space="0" w:color="auto"/>
            <w:bottom w:val="none" w:sz="0" w:space="0" w:color="auto"/>
            <w:right w:val="none" w:sz="0" w:space="0" w:color="auto"/>
          </w:divBdr>
          <w:divsChild>
            <w:div w:id="2134782750">
              <w:marLeft w:val="0"/>
              <w:marRight w:val="0"/>
              <w:marTop w:val="0"/>
              <w:marBottom w:val="0"/>
              <w:divBdr>
                <w:top w:val="none" w:sz="0" w:space="0" w:color="auto"/>
                <w:left w:val="none" w:sz="0" w:space="0" w:color="auto"/>
                <w:bottom w:val="none" w:sz="0" w:space="0" w:color="auto"/>
                <w:right w:val="none" w:sz="0" w:space="0" w:color="auto"/>
              </w:divBdr>
              <w:divsChild>
                <w:div w:id="863906282">
                  <w:marLeft w:val="0"/>
                  <w:marRight w:val="0"/>
                  <w:marTop w:val="0"/>
                  <w:marBottom w:val="0"/>
                  <w:divBdr>
                    <w:top w:val="none" w:sz="0" w:space="0" w:color="auto"/>
                    <w:left w:val="none" w:sz="0" w:space="0" w:color="auto"/>
                    <w:bottom w:val="none" w:sz="0" w:space="0" w:color="auto"/>
                    <w:right w:val="none" w:sz="0" w:space="0" w:color="auto"/>
                  </w:divBdr>
                  <w:divsChild>
                    <w:div w:id="1706709529">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sChild>
                            <w:div w:id="1629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8345">
      <w:bodyDiv w:val="1"/>
      <w:marLeft w:val="0"/>
      <w:marRight w:val="0"/>
      <w:marTop w:val="0"/>
      <w:marBottom w:val="0"/>
      <w:divBdr>
        <w:top w:val="none" w:sz="0" w:space="0" w:color="auto"/>
        <w:left w:val="none" w:sz="0" w:space="0" w:color="auto"/>
        <w:bottom w:val="none" w:sz="0" w:space="0" w:color="auto"/>
        <w:right w:val="none" w:sz="0" w:space="0" w:color="auto"/>
      </w:divBdr>
    </w:div>
    <w:div w:id="2143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valsts-kase/sabiedribas-lidzdalib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810F-090A-468B-9E64-5EE5F2CA1831}">
  <ds:schemaRefs>
    <ds:schemaRef ds:uri="http://schemas.microsoft.com/sharepoint/v3/contenttype/forms"/>
  </ds:schemaRefs>
</ds:datastoreItem>
</file>

<file path=customXml/itemProps2.xml><?xml version="1.0" encoding="utf-8"?>
<ds:datastoreItem xmlns:ds="http://schemas.openxmlformats.org/officeDocument/2006/customXml" ds:itemID="{826FF4B2-3834-4F91-BA69-EF3C309D2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7C8483-A1D4-46E5-A12D-C34D5E8D7D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D4F81-B5DF-4DAF-BBD1-8974A6CA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12586</Words>
  <Characters>7175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Kārtība, kādā ministrijas un citas centrālās valsts iestādes iekļauj gadskārtējā valsts budžeta likumprojektā valsts aizdevumu pieprasījumus, un valsts aizdevumu izsniegšanas un apkalpošanas kārtība</vt:lpstr>
    </vt:vector>
  </TitlesOfParts>
  <Company>Valsts kase</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ministrijas un citas centrālās valsts iestādes iekļauj gadskārtējā valsts budžeta likumprojektā valsts aizdevumu pieprasījumus, un valsts aizdevumu izsniegšanas un apkalpošanas kārtība</dc:title>
  <dc:subject>sākotnējās ietekmes novērtējuma ziņojums</dc:subject>
  <dc:creator>Indra Bobrovska;Sandis Putniņš</dc:creator>
  <dc:description>67094229, Indra.Bobrovska@kase.gov.lv</dc:description>
  <cp:lastModifiedBy>Laimdota Adlere</cp:lastModifiedBy>
  <cp:revision>2</cp:revision>
  <cp:lastPrinted>2019-07-05T10:44:00Z</cp:lastPrinted>
  <dcterms:created xsi:type="dcterms:W3CDTF">2019-07-11T07:43:00Z</dcterms:created>
  <dcterms:modified xsi:type="dcterms:W3CDTF">2019-07-11T07:43:00Z</dcterms:modified>
  <cp:category>Budžeta un finanšu vadība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